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A968" w14:textId="77777777" w:rsidR="009B03FB" w:rsidRPr="00E622A0" w:rsidRDefault="009B03FB" w:rsidP="00274A27">
      <w:pPr>
        <w:spacing w:line="276" w:lineRule="auto"/>
        <w:jc w:val="both"/>
        <w:rPr>
          <w:rFonts w:ascii="Sylfaen" w:hAnsi="Sylfaen" w:cs="Arial"/>
        </w:rPr>
      </w:pPr>
    </w:p>
    <w:p w14:paraId="1FF6EF86" w14:textId="77777777" w:rsidR="009B03FB" w:rsidRPr="00361B8B" w:rsidRDefault="009B03FB" w:rsidP="00274A27">
      <w:pPr>
        <w:spacing w:line="276" w:lineRule="auto"/>
        <w:jc w:val="both"/>
        <w:rPr>
          <w:rFonts w:cs="Arial"/>
        </w:rPr>
      </w:pPr>
    </w:p>
    <w:p w14:paraId="5F4F9B27" w14:textId="77777777" w:rsidR="009B03FB" w:rsidRPr="00361B8B" w:rsidRDefault="009B03FB" w:rsidP="00274A27">
      <w:pPr>
        <w:spacing w:line="276" w:lineRule="auto"/>
        <w:jc w:val="both"/>
        <w:rPr>
          <w:rFonts w:cs="Arial"/>
        </w:rPr>
      </w:pPr>
    </w:p>
    <w:p w14:paraId="0C001F35" w14:textId="626B6571" w:rsidR="009B03FB" w:rsidRPr="00361B8B" w:rsidRDefault="009B09E6" w:rsidP="0088130A">
      <w:pPr>
        <w:spacing w:line="276" w:lineRule="auto"/>
        <w:jc w:val="center"/>
        <w:rPr>
          <w:rFonts w:cs="Arial"/>
        </w:rPr>
      </w:pPr>
      <w:r>
        <w:rPr>
          <w:rFonts w:cs="Arial"/>
          <w:noProof/>
        </w:rPr>
        <w:drawing>
          <wp:inline distT="0" distB="0" distL="0" distR="0" wp14:anchorId="4D1F95FD" wp14:editId="56366D62">
            <wp:extent cx="2152650" cy="8205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A-Bank-Georgia-Logo-red-on-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820520"/>
                    </a:xfrm>
                    <a:prstGeom prst="rect">
                      <a:avLst/>
                    </a:prstGeom>
                  </pic:spPr>
                </pic:pic>
              </a:graphicData>
            </a:graphic>
          </wp:inline>
        </w:drawing>
      </w:r>
    </w:p>
    <w:p w14:paraId="7BB9E747" w14:textId="77777777" w:rsidR="009B03FB" w:rsidRPr="00361B8B" w:rsidRDefault="009B03FB" w:rsidP="00274A27">
      <w:pPr>
        <w:spacing w:line="276" w:lineRule="auto"/>
        <w:jc w:val="both"/>
        <w:rPr>
          <w:rFonts w:cs="Arial"/>
        </w:rPr>
      </w:pPr>
    </w:p>
    <w:p w14:paraId="25EA8362" w14:textId="77777777" w:rsidR="009B03FB" w:rsidRPr="00361B8B" w:rsidRDefault="009B03FB" w:rsidP="00274A27">
      <w:pPr>
        <w:spacing w:line="276" w:lineRule="auto"/>
        <w:jc w:val="both"/>
        <w:rPr>
          <w:rFonts w:cs="Arial"/>
        </w:rPr>
      </w:pPr>
    </w:p>
    <w:p w14:paraId="30BF125B" w14:textId="77777777" w:rsidR="009B03FB" w:rsidRPr="00361B8B" w:rsidRDefault="009B03FB" w:rsidP="00274A27">
      <w:pPr>
        <w:spacing w:line="276" w:lineRule="auto"/>
        <w:jc w:val="both"/>
        <w:rPr>
          <w:rFonts w:cs="Arial"/>
        </w:rPr>
      </w:pPr>
    </w:p>
    <w:p w14:paraId="2D2FF90A" w14:textId="77777777" w:rsidR="009B03FB" w:rsidRPr="00361B8B" w:rsidRDefault="009B03FB" w:rsidP="00274A27">
      <w:pPr>
        <w:spacing w:line="276" w:lineRule="auto"/>
        <w:jc w:val="both"/>
        <w:rPr>
          <w:rFonts w:cs="Arial"/>
        </w:rPr>
      </w:pPr>
    </w:p>
    <w:p w14:paraId="3C50E63E" w14:textId="77777777" w:rsidR="009B03FB" w:rsidRPr="00361B8B" w:rsidRDefault="009B03FB" w:rsidP="00274A27">
      <w:pPr>
        <w:spacing w:line="276" w:lineRule="auto"/>
        <w:jc w:val="both"/>
        <w:rPr>
          <w:rFonts w:cs="Arial"/>
        </w:rPr>
      </w:pPr>
    </w:p>
    <w:p w14:paraId="069DB836" w14:textId="77777777" w:rsidR="009B03FB" w:rsidRPr="0088130A" w:rsidRDefault="009B03FB" w:rsidP="00274A27">
      <w:pPr>
        <w:spacing w:line="276" w:lineRule="auto"/>
        <w:jc w:val="both"/>
        <w:rPr>
          <w:rFonts w:asciiTheme="minorHAnsi" w:hAnsiTheme="minorHAnsi" w:cs="Arial"/>
          <w:lang w:val="ka-GE"/>
        </w:rPr>
      </w:pPr>
    </w:p>
    <w:p w14:paraId="0A81CF50" w14:textId="77777777" w:rsidR="009B03FB" w:rsidRPr="00361B8B" w:rsidRDefault="009B03FB" w:rsidP="00274A27">
      <w:pPr>
        <w:spacing w:line="276" w:lineRule="auto"/>
        <w:jc w:val="both"/>
        <w:rPr>
          <w:rFonts w:cs="Arial"/>
        </w:rPr>
      </w:pPr>
    </w:p>
    <w:p w14:paraId="30FAD65A" w14:textId="77777777" w:rsidR="009B03FB" w:rsidRPr="00361B8B" w:rsidRDefault="009B03FB" w:rsidP="00274A27">
      <w:pPr>
        <w:spacing w:line="276" w:lineRule="auto"/>
        <w:jc w:val="both"/>
        <w:rPr>
          <w:rFonts w:cs="Arial"/>
        </w:rPr>
      </w:pPr>
    </w:p>
    <w:p w14:paraId="21FE0D91" w14:textId="010F35DA" w:rsidR="009B03FB" w:rsidRDefault="009B03FB" w:rsidP="00274A27">
      <w:pPr>
        <w:spacing w:line="276" w:lineRule="auto"/>
        <w:jc w:val="both"/>
        <w:rPr>
          <w:rFonts w:cs="Arial"/>
        </w:rPr>
      </w:pPr>
    </w:p>
    <w:p w14:paraId="3F91993A" w14:textId="77777777" w:rsidR="00B60279" w:rsidRPr="00361B8B" w:rsidRDefault="00B60279" w:rsidP="00274A27">
      <w:pPr>
        <w:spacing w:line="276" w:lineRule="auto"/>
        <w:jc w:val="both"/>
        <w:rPr>
          <w:rFonts w:cs="Arial"/>
        </w:rPr>
      </w:pPr>
    </w:p>
    <w:p w14:paraId="2A5B4978" w14:textId="77777777" w:rsidR="009B03FB" w:rsidRPr="00361B8B" w:rsidRDefault="009B03FB" w:rsidP="00274A27">
      <w:pPr>
        <w:spacing w:line="276" w:lineRule="auto"/>
        <w:jc w:val="both"/>
        <w:rPr>
          <w:rFonts w:cs="Arial"/>
        </w:rPr>
      </w:pPr>
    </w:p>
    <w:p w14:paraId="639227CD" w14:textId="6B021F24" w:rsidR="0015339E" w:rsidRDefault="0015339E" w:rsidP="00F7408F">
      <w:pPr>
        <w:spacing w:line="276" w:lineRule="auto"/>
        <w:jc w:val="center"/>
        <w:rPr>
          <w:rFonts w:cs="Arial"/>
          <w:b/>
          <w:bCs/>
          <w:spacing w:val="8"/>
          <w:sz w:val="40"/>
          <w:szCs w:val="40"/>
        </w:rPr>
      </w:pPr>
      <w:r>
        <w:rPr>
          <w:rFonts w:cs="Arial"/>
          <w:b/>
          <w:bCs/>
          <w:spacing w:val="8"/>
          <w:sz w:val="40"/>
          <w:szCs w:val="40"/>
        </w:rPr>
        <w:t>FINCA Bank Georgia, JSC</w:t>
      </w:r>
    </w:p>
    <w:p w14:paraId="4B718DC1" w14:textId="77777777" w:rsidR="0015339E" w:rsidRDefault="0015339E" w:rsidP="00F7408F">
      <w:pPr>
        <w:spacing w:line="276" w:lineRule="auto"/>
        <w:jc w:val="center"/>
        <w:rPr>
          <w:rFonts w:cs="Arial"/>
          <w:b/>
          <w:bCs/>
          <w:spacing w:val="8"/>
          <w:sz w:val="40"/>
          <w:szCs w:val="40"/>
        </w:rPr>
      </w:pPr>
    </w:p>
    <w:p w14:paraId="0B1E599D" w14:textId="0E90C996" w:rsidR="001C2A2E" w:rsidRPr="00F7408F" w:rsidRDefault="00F7408F" w:rsidP="00F7408F">
      <w:pPr>
        <w:spacing w:line="276" w:lineRule="auto"/>
        <w:jc w:val="center"/>
        <w:rPr>
          <w:rFonts w:cs="Arial"/>
          <w:b/>
          <w:bCs/>
          <w:spacing w:val="8"/>
          <w:sz w:val="40"/>
          <w:szCs w:val="40"/>
        </w:rPr>
      </w:pPr>
      <w:r w:rsidRPr="00F7408F">
        <w:rPr>
          <w:rFonts w:cs="Arial"/>
          <w:b/>
          <w:bCs/>
          <w:spacing w:val="8"/>
          <w:sz w:val="40"/>
          <w:szCs w:val="40"/>
        </w:rPr>
        <w:t>REQUEST FOR PROPOSAL</w:t>
      </w:r>
    </w:p>
    <w:p w14:paraId="2660876C" w14:textId="77777777" w:rsidR="001C2A2E" w:rsidRPr="00274A27" w:rsidRDefault="001C2A2E" w:rsidP="00F7408F">
      <w:pPr>
        <w:spacing w:line="276" w:lineRule="auto"/>
        <w:jc w:val="center"/>
        <w:rPr>
          <w:rFonts w:cs="Arial"/>
          <w:b/>
          <w:bCs/>
          <w:spacing w:val="6"/>
          <w:sz w:val="40"/>
          <w:szCs w:val="40"/>
        </w:rPr>
      </w:pPr>
    </w:p>
    <w:p w14:paraId="6037F43A" w14:textId="34713054" w:rsidR="009B03FB" w:rsidRPr="00F7408F" w:rsidRDefault="00F7408F" w:rsidP="00F7408F">
      <w:pPr>
        <w:spacing w:line="276" w:lineRule="auto"/>
        <w:jc w:val="center"/>
        <w:rPr>
          <w:rFonts w:cs="Arial"/>
          <w:b/>
          <w:bCs/>
          <w:spacing w:val="4"/>
          <w:sz w:val="40"/>
          <w:szCs w:val="40"/>
        </w:rPr>
      </w:pPr>
      <w:r w:rsidRPr="00F7408F">
        <w:rPr>
          <w:rFonts w:cs="Arial"/>
          <w:b/>
          <w:bCs/>
          <w:spacing w:val="4"/>
          <w:sz w:val="40"/>
          <w:szCs w:val="40"/>
        </w:rPr>
        <w:t>CYBERSECURITY AUDIT</w:t>
      </w:r>
    </w:p>
    <w:p w14:paraId="5DA14589" w14:textId="77777777" w:rsidR="009B03FB" w:rsidRPr="00361B8B" w:rsidRDefault="009B03FB" w:rsidP="00274A27">
      <w:pPr>
        <w:spacing w:line="276" w:lineRule="auto"/>
        <w:jc w:val="center"/>
        <w:rPr>
          <w:rFonts w:cs="Arial"/>
        </w:rPr>
      </w:pPr>
    </w:p>
    <w:p w14:paraId="0EF58B43" w14:textId="77777777" w:rsidR="009B03FB" w:rsidRPr="00361B8B" w:rsidRDefault="009B03FB" w:rsidP="00274A27">
      <w:pPr>
        <w:spacing w:line="276" w:lineRule="auto"/>
        <w:jc w:val="center"/>
        <w:rPr>
          <w:rFonts w:cs="Arial"/>
        </w:rPr>
      </w:pPr>
    </w:p>
    <w:p w14:paraId="7CEC51CB" w14:textId="77777777" w:rsidR="009B03FB" w:rsidRPr="00361B8B" w:rsidRDefault="009B03FB" w:rsidP="00274A27">
      <w:pPr>
        <w:spacing w:line="276" w:lineRule="auto"/>
        <w:jc w:val="center"/>
        <w:rPr>
          <w:rFonts w:cs="Arial"/>
        </w:rPr>
      </w:pPr>
    </w:p>
    <w:p w14:paraId="110ACB64" w14:textId="77777777" w:rsidR="009B03FB" w:rsidRPr="00361B8B" w:rsidRDefault="009B03FB" w:rsidP="00274A27">
      <w:pPr>
        <w:spacing w:line="276" w:lineRule="auto"/>
        <w:jc w:val="center"/>
        <w:rPr>
          <w:rFonts w:cs="Arial"/>
        </w:rPr>
      </w:pPr>
    </w:p>
    <w:p w14:paraId="66296B81" w14:textId="77777777" w:rsidR="009B03FB" w:rsidRPr="00361B8B" w:rsidRDefault="009B03FB" w:rsidP="00274A27">
      <w:pPr>
        <w:spacing w:line="276" w:lineRule="auto"/>
        <w:jc w:val="center"/>
        <w:rPr>
          <w:rFonts w:cs="Arial"/>
        </w:rPr>
      </w:pPr>
    </w:p>
    <w:p w14:paraId="5E0E2C32" w14:textId="77777777" w:rsidR="009B03FB" w:rsidRPr="00361B8B" w:rsidRDefault="009B03FB" w:rsidP="00274A27">
      <w:pPr>
        <w:spacing w:line="276" w:lineRule="auto"/>
        <w:jc w:val="center"/>
        <w:rPr>
          <w:rFonts w:cs="Arial"/>
        </w:rPr>
      </w:pPr>
    </w:p>
    <w:p w14:paraId="60C26F6D" w14:textId="77777777" w:rsidR="009B03FB" w:rsidRPr="00361B8B" w:rsidRDefault="009B03FB" w:rsidP="00274A27">
      <w:pPr>
        <w:spacing w:line="276" w:lineRule="auto"/>
        <w:jc w:val="center"/>
        <w:rPr>
          <w:rFonts w:cs="Arial"/>
        </w:rPr>
      </w:pPr>
    </w:p>
    <w:p w14:paraId="1E398CB4" w14:textId="77777777" w:rsidR="0034388C" w:rsidRPr="00361B8B" w:rsidRDefault="0034388C" w:rsidP="00274A27">
      <w:pPr>
        <w:spacing w:line="276" w:lineRule="auto"/>
        <w:jc w:val="center"/>
        <w:rPr>
          <w:rFonts w:cs="Arial"/>
        </w:rPr>
      </w:pPr>
    </w:p>
    <w:p w14:paraId="20D7A2A5" w14:textId="77777777" w:rsidR="0034388C" w:rsidRPr="00361B8B" w:rsidRDefault="0034388C" w:rsidP="00274A27">
      <w:pPr>
        <w:spacing w:line="276" w:lineRule="auto"/>
        <w:jc w:val="center"/>
        <w:rPr>
          <w:rFonts w:cs="Arial"/>
        </w:rPr>
      </w:pPr>
    </w:p>
    <w:p w14:paraId="0B8751D6" w14:textId="77777777" w:rsidR="0034388C" w:rsidRPr="00361B8B" w:rsidRDefault="0034388C" w:rsidP="00274A27">
      <w:pPr>
        <w:spacing w:line="276" w:lineRule="auto"/>
        <w:jc w:val="center"/>
        <w:rPr>
          <w:rFonts w:cs="Arial"/>
        </w:rPr>
      </w:pPr>
    </w:p>
    <w:p w14:paraId="615B3391" w14:textId="77777777" w:rsidR="0034388C" w:rsidRPr="00361B8B" w:rsidRDefault="0034388C" w:rsidP="00274A27">
      <w:pPr>
        <w:spacing w:line="276" w:lineRule="auto"/>
        <w:jc w:val="center"/>
        <w:rPr>
          <w:rFonts w:cs="Arial"/>
        </w:rPr>
      </w:pPr>
    </w:p>
    <w:p w14:paraId="02D61DB1" w14:textId="77777777" w:rsidR="0034388C" w:rsidRPr="00361B8B" w:rsidRDefault="0034388C" w:rsidP="00274A27">
      <w:pPr>
        <w:spacing w:line="276" w:lineRule="auto"/>
        <w:jc w:val="center"/>
        <w:rPr>
          <w:rFonts w:cs="Arial"/>
        </w:rPr>
      </w:pPr>
    </w:p>
    <w:p w14:paraId="3BB69A59" w14:textId="77777777" w:rsidR="0034388C" w:rsidRPr="00361B8B" w:rsidRDefault="0034388C" w:rsidP="00274A27">
      <w:pPr>
        <w:spacing w:line="276" w:lineRule="auto"/>
        <w:jc w:val="center"/>
        <w:rPr>
          <w:rFonts w:cs="Arial"/>
        </w:rPr>
      </w:pPr>
    </w:p>
    <w:p w14:paraId="6C609F54" w14:textId="77777777" w:rsidR="0034388C" w:rsidRPr="00361B8B" w:rsidRDefault="0034388C" w:rsidP="00B60279">
      <w:pPr>
        <w:spacing w:line="276" w:lineRule="auto"/>
        <w:rPr>
          <w:rFonts w:cs="Arial"/>
        </w:rPr>
      </w:pPr>
    </w:p>
    <w:p w14:paraId="51CD58D1" w14:textId="77777777" w:rsidR="0034388C" w:rsidRPr="00361B8B" w:rsidRDefault="0034388C" w:rsidP="00274A27">
      <w:pPr>
        <w:spacing w:line="276" w:lineRule="auto"/>
        <w:jc w:val="center"/>
        <w:rPr>
          <w:rFonts w:cs="Arial"/>
        </w:rPr>
      </w:pPr>
    </w:p>
    <w:p w14:paraId="4DD53B24" w14:textId="77777777" w:rsidR="0034388C" w:rsidRPr="00361B8B" w:rsidRDefault="0034388C" w:rsidP="00274A27">
      <w:pPr>
        <w:spacing w:line="276" w:lineRule="auto"/>
        <w:jc w:val="center"/>
        <w:rPr>
          <w:rFonts w:cs="Arial"/>
        </w:rPr>
      </w:pPr>
    </w:p>
    <w:p w14:paraId="084ABF87" w14:textId="77777777" w:rsidR="0034388C" w:rsidRPr="00361B8B" w:rsidRDefault="0034388C" w:rsidP="00274A27">
      <w:pPr>
        <w:spacing w:line="276" w:lineRule="auto"/>
        <w:jc w:val="center"/>
        <w:rPr>
          <w:rFonts w:cs="Arial"/>
        </w:rPr>
      </w:pPr>
    </w:p>
    <w:p w14:paraId="41CB8C44" w14:textId="39FEC100" w:rsidR="0034388C" w:rsidRPr="00274A27" w:rsidRDefault="0034388C" w:rsidP="00274A27">
      <w:pPr>
        <w:spacing w:line="276" w:lineRule="auto"/>
        <w:jc w:val="center"/>
        <w:rPr>
          <w:rFonts w:ascii="Sylfaen" w:hAnsi="Sylfaen" w:cs="Arial"/>
          <w:lang w:val="ka-GE"/>
        </w:rPr>
      </w:pPr>
    </w:p>
    <w:p w14:paraId="70BA5FB4" w14:textId="13B8D975" w:rsidR="009B03FB" w:rsidRPr="00F7408F" w:rsidRDefault="00274A27" w:rsidP="00274A27">
      <w:pPr>
        <w:spacing w:line="276" w:lineRule="auto"/>
        <w:jc w:val="center"/>
        <w:rPr>
          <w:rFonts w:cs="Arial"/>
          <w:b/>
          <w:bCs/>
          <w:spacing w:val="4"/>
          <w:sz w:val="48"/>
          <w:szCs w:val="56"/>
        </w:rPr>
      </w:pPr>
      <w:r w:rsidRPr="00F7408F">
        <w:rPr>
          <w:rFonts w:cs="Arial"/>
          <w:b/>
          <w:bCs/>
          <w:spacing w:val="4"/>
          <w:sz w:val="48"/>
          <w:szCs w:val="56"/>
        </w:rPr>
        <w:t>2020</w:t>
      </w:r>
    </w:p>
    <w:p w14:paraId="5143B0F2" w14:textId="77777777" w:rsidR="00274A27" w:rsidRDefault="00274A27" w:rsidP="00274A27">
      <w:pPr>
        <w:spacing w:line="276" w:lineRule="auto"/>
        <w:jc w:val="both"/>
        <w:rPr>
          <w:rFonts w:cs="Arial"/>
          <w:b/>
          <w:sz w:val="28"/>
          <w:szCs w:val="28"/>
        </w:rPr>
      </w:pPr>
    </w:p>
    <w:p w14:paraId="72E6CF68" w14:textId="77777777" w:rsidR="00274A27" w:rsidRDefault="00274A27" w:rsidP="00274A27">
      <w:pPr>
        <w:spacing w:line="276" w:lineRule="auto"/>
        <w:jc w:val="both"/>
        <w:rPr>
          <w:rFonts w:cs="Arial"/>
          <w:b/>
          <w:sz w:val="28"/>
          <w:szCs w:val="28"/>
        </w:rPr>
      </w:pPr>
    </w:p>
    <w:p w14:paraId="3DE169C8" w14:textId="77777777" w:rsidR="00274A27" w:rsidRDefault="00274A27" w:rsidP="00274A27">
      <w:pPr>
        <w:spacing w:line="276" w:lineRule="auto"/>
        <w:jc w:val="both"/>
        <w:rPr>
          <w:rFonts w:cs="Arial"/>
          <w:b/>
          <w:sz w:val="28"/>
          <w:szCs w:val="28"/>
        </w:rPr>
      </w:pPr>
    </w:p>
    <w:p w14:paraId="38F67C25" w14:textId="17FE3591" w:rsidR="00012F61" w:rsidRPr="0088130A" w:rsidRDefault="0088130A" w:rsidP="00274A27">
      <w:pPr>
        <w:spacing w:line="276" w:lineRule="auto"/>
        <w:jc w:val="both"/>
        <w:rPr>
          <w:rFonts w:cs="Arial"/>
          <w:b/>
          <w:sz w:val="28"/>
          <w:szCs w:val="28"/>
        </w:rPr>
      </w:pPr>
      <w:r w:rsidRPr="0088130A">
        <w:rPr>
          <w:rFonts w:cs="Arial"/>
          <w:b/>
          <w:sz w:val="28"/>
          <w:szCs w:val="28"/>
        </w:rPr>
        <w:t>INTRODUCTION</w:t>
      </w:r>
    </w:p>
    <w:p w14:paraId="630565BD" w14:textId="77777777" w:rsidR="00012F61" w:rsidRPr="00361B8B" w:rsidRDefault="00012F61" w:rsidP="00274A27">
      <w:pPr>
        <w:spacing w:line="276" w:lineRule="auto"/>
        <w:jc w:val="both"/>
        <w:rPr>
          <w:rFonts w:cs="Arial"/>
          <w:b/>
          <w:sz w:val="28"/>
          <w:szCs w:val="28"/>
        </w:rPr>
      </w:pPr>
    </w:p>
    <w:p w14:paraId="1121E511" w14:textId="77777777" w:rsidR="009B09E6" w:rsidRPr="009B09E6" w:rsidRDefault="009B09E6" w:rsidP="00274A27">
      <w:pPr>
        <w:shd w:val="clear" w:color="auto" w:fill="FFFFFF"/>
        <w:spacing w:after="300" w:line="276" w:lineRule="auto"/>
        <w:jc w:val="both"/>
        <w:rPr>
          <w:szCs w:val="20"/>
        </w:rPr>
      </w:pPr>
      <w:r w:rsidRPr="009B09E6">
        <w:rPr>
          <w:szCs w:val="20"/>
        </w:rPr>
        <w:t xml:space="preserve">FINCA Bank Georgia is part of the FINCA Impact Finance Network, a group of 20 microfinance and financial institutions that provides socially responsible financial services and enables low-income entrepreneurs and small business owners to invest in the future. FINCA launched its operations in Georgia back in 1998, operating as a microfinance institution till 6 </w:t>
      </w:r>
      <w:proofErr w:type="gramStart"/>
      <w:r w:rsidRPr="009B09E6">
        <w:rPr>
          <w:szCs w:val="20"/>
        </w:rPr>
        <w:t>August,</w:t>
      </w:r>
      <w:proofErr w:type="gramEnd"/>
      <w:r w:rsidRPr="009B09E6">
        <w:rPr>
          <w:szCs w:val="20"/>
        </w:rPr>
        <w:t xml:space="preserve"> 2013. On 6 August 2013 institution received its banking license from the National Bank of Georgia.</w:t>
      </w:r>
    </w:p>
    <w:p w14:paraId="5C5D7EE3" w14:textId="77777777" w:rsidR="009B09E6" w:rsidRPr="009B09E6" w:rsidRDefault="009B09E6" w:rsidP="00274A27">
      <w:pPr>
        <w:shd w:val="clear" w:color="auto" w:fill="FFFFFF"/>
        <w:spacing w:after="300" w:line="276" w:lineRule="auto"/>
        <w:jc w:val="both"/>
        <w:rPr>
          <w:szCs w:val="20"/>
        </w:rPr>
      </w:pPr>
      <w:r w:rsidRPr="009B09E6">
        <w:rPr>
          <w:szCs w:val="20"/>
        </w:rPr>
        <w:t xml:space="preserve">Being a part of Global network of financial institutions, a group comprised of shareholders such as FINCA International, USA,  International Financial Corporation (IFC, World Bank Group)- USA, </w:t>
      </w:r>
      <w:proofErr w:type="spellStart"/>
      <w:r w:rsidRPr="009B09E6">
        <w:rPr>
          <w:szCs w:val="20"/>
        </w:rPr>
        <w:t>KfW</w:t>
      </w:r>
      <w:proofErr w:type="spellEnd"/>
      <w:r w:rsidRPr="009B09E6">
        <w:rPr>
          <w:szCs w:val="20"/>
        </w:rPr>
        <w:t xml:space="preserve"> </w:t>
      </w:r>
      <w:proofErr w:type="spellStart"/>
      <w:r w:rsidRPr="009B09E6">
        <w:rPr>
          <w:szCs w:val="20"/>
        </w:rPr>
        <w:t>Bankengruppe</w:t>
      </w:r>
      <w:proofErr w:type="spellEnd"/>
      <w:r w:rsidRPr="009B09E6">
        <w:rPr>
          <w:szCs w:val="20"/>
        </w:rPr>
        <w:t>, the German development bank, FMO, the Netherlands development bank, and Triple Jump, a Netherlands-based microfinance investment manager, FINCA Bank Georgia is a bank with strong corporate governance, and expertise in financial services management.</w:t>
      </w:r>
    </w:p>
    <w:p w14:paraId="42DAB5C3" w14:textId="5B7BC54B" w:rsidR="00274A27" w:rsidRPr="00274A27" w:rsidRDefault="009B09E6" w:rsidP="00274A27">
      <w:pPr>
        <w:shd w:val="clear" w:color="auto" w:fill="FFFFFF"/>
        <w:spacing w:after="300" w:line="276" w:lineRule="auto"/>
        <w:jc w:val="both"/>
        <w:rPr>
          <w:szCs w:val="20"/>
        </w:rPr>
      </w:pPr>
      <w:r w:rsidRPr="009B09E6">
        <w:rPr>
          <w:szCs w:val="20"/>
        </w:rPr>
        <w:t>FINCA Bank Georgia has played an important role in establishing and developing credit culture in the country – being a pioneer of microfinance for over 20 years FINCA Bank Georgia has been providing responsible financial services to entrepreneurs in all regions of Georgia. With more than 20 years of experience in the Georgian financial services sector and having impacted lives of tens of thousands of Georgian families, FINCA Bank Georgia strives for excellence and uniqueness to generate greater value to its more than 100 000 customer</w:t>
      </w:r>
      <w:r w:rsidRPr="009B09E6">
        <w:rPr>
          <w:szCs w:val="20"/>
          <w:lang w:val="ka-GE"/>
        </w:rPr>
        <w:t xml:space="preserve"> </w:t>
      </w:r>
      <w:proofErr w:type="gramStart"/>
      <w:r w:rsidRPr="009B09E6">
        <w:rPr>
          <w:szCs w:val="20"/>
        </w:rPr>
        <w:t>base</w:t>
      </w:r>
      <w:proofErr w:type="gramEnd"/>
      <w:r w:rsidRPr="009B09E6">
        <w:rPr>
          <w:szCs w:val="20"/>
        </w:rPr>
        <w:t>.</w:t>
      </w:r>
    </w:p>
    <w:p w14:paraId="3557CB7C" w14:textId="77777777" w:rsidR="00274A27" w:rsidRDefault="00274A27" w:rsidP="00274A27">
      <w:pPr>
        <w:jc w:val="both"/>
        <w:rPr>
          <w:b/>
          <w:bCs/>
        </w:rPr>
      </w:pPr>
    </w:p>
    <w:p w14:paraId="46B59AE8" w14:textId="77777777" w:rsidR="00274A27" w:rsidRDefault="00274A27" w:rsidP="00274A27">
      <w:pPr>
        <w:jc w:val="both"/>
        <w:rPr>
          <w:b/>
          <w:bCs/>
        </w:rPr>
      </w:pPr>
    </w:p>
    <w:p w14:paraId="6754A63A" w14:textId="04262712" w:rsidR="003D09B6" w:rsidRPr="009A7365" w:rsidRDefault="003D09B6" w:rsidP="0088130A">
      <w:pPr>
        <w:spacing w:line="276" w:lineRule="auto"/>
        <w:jc w:val="both"/>
        <w:rPr>
          <w:rFonts w:ascii="Sylfaen" w:hAnsi="Sylfaen"/>
          <w:b/>
          <w:bCs/>
          <w:lang w:val="ka-GE"/>
        </w:rPr>
      </w:pPr>
      <w:r w:rsidRPr="0031436A">
        <w:rPr>
          <w:b/>
          <w:bCs/>
        </w:rPr>
        <w:t xml:space="preserve">FINCA Bank Georgia intends to conduct a cybersecurity audit based on the Regulation of the National Bank of Georgia on the ‘Cybersecurity Management Framework of Commercial Banks’ Approved by Decree N56/04 of March 22, 2019 to evaluate cybersecurity controls. </w:t>
      </w:r>
    </w:p>
    <w:p w14:paraId="7A97CCE1" w14:textId="77777777" w:rsidR="00F7653B" w:rsidRPr="00361B8B" w:rsidRDefault="00F7653B" w:rsidP="0088130A">
      <w:pPr>
        <w:spacing w:line="276" w:lineRule="auto"/>
        <w:jc w:val="both"/>
        <w:rPr>
          <w:rFonts w:cs="Arial"/>
          <w:b/>
          <w:sz w:val="28"/>
          <w:szCs w:val="28"/>
        </w:rPr>
      </w:pPr>
    </w:p>
    <w:p w14:paraId="42027512" w14:textId="1A8915E3" w:rsidR="00D239A3" w:rsidRPr="006D0206" w:rsidRDefault="00D239A3" w:rsidP="0088130A">
      <w:pPr>
        <w:spacing w:line="276" w:lineRule="auto"/>
        <w:jc w:val="both"/>
      </w:pPr>
      <w:r w:rsidRPr="00D239A3">
        <w:t xml:space="preserve">FINCA Bank Georgia </w:t>
      </w:r>
      <w:r>
        <w:t xml:space="preserve">invites Sealed Tenders for conducting </w:t>
      </w:r>
      <w:r w:rsidR="009717B7">
        <w:t xml:space="preserve">Cybersecurity </w:t>
      </w:r>
      <w:r w:rsidR="006D0206">
        <w:t>Audit</w:t>
      </w:r>
      <w:r>
        <w:t xml:space="preserve"> from the firms/companies, who have prior experience of handling </w:t>
      </w:r>
      <w:r w:rsidR="009717B7">
        <w:t>Cybersecurity</w:t>
      </w:r>
      <w:r w:rsidRPr="00D239A3">
        <w:t xml:space="preserve"> </w:t>
      </w:r>
      <w:r>
        <w:t>Audit</w:t>
      </w:r>
      <w:r w:rsidR="006D0206">
        <w:t xml:space="preserve"> engagements</w:t>
      </w:r>
    </w:p>
    <w:p w14:paraId="7352007D" w14:textId="0CD9D22D" w:rsidR="00D239A3" w:rsidRDefault="00D239A3" w:rsidP="00274A27">
      <w:pPr>
        <w:spacing w:line="276" w:lineRule="auto"/>
        <w:jc w:val="both"/>
        <w:rPr>
          <w:rFonts w:cs="Arial"/>
          <w:b/>
          <w:sz w:val="28"/>
          <w:szCs w:val="28"/>
        </w:rPr>
      </w:pPr>
    </w:p>
    <w:p w14:paraId="6B7C6384" w14:textId="5CC46477" w:rsidR="00F7653B" w:rsidRDefault="0088130A" w:rsidP="0088130A">
      <w:pPr>
        <w:spacing w:line="276" w:lineRule="auto"/>
        <w:jc w:val="both"/>
        <w:rPr>
          <w:b/>
          <w:bCs/>
          <w:sz w:val="28"/>
          <w:szCs w:val="36"/>
        </w:rPr>
      </w:pPr>
      <w:r>
        <w:rPr>
          <w:b/>
          <w:bCs/>
          <w:sz w:val="28"/>
          <w:szCs w:val="36"/>
        </w:rPr>
        <w:t>AUDIT OBJECTIVES</w:t>
      </w:r>
    </w:p>
    <w:p w14:paraId="1E02BB09" w14:textId="77777777" w:rsidR="00F7653B" w:rsidRPr="00C94007" w:rsidRDefault="00F7653B" w:rsidP="0088130A">
      <w:pPr>
        <w:spacing w:line="276" w:lineRule="auto"/>
        <w:jc w:val="both"/>
        <w:rPr>
          <w:b/>
          <w:bCs/>
          <w:sz w:val="28"/>
          <w:szCs w:val="36"/>
        </w:rPr>
      </w:pPr>
    </w:p>
    <w:p w14:paraId="69CE1A50" w14:textId="77777777" w:rsidR="00F7653B" w:rsidRDefault="00F7653B" w:rsidP="0088130A">
      <w:pPr>
        <w:pStyle w:val="ListParagraph"/>
        <w:numPr>
          <w:ilvl w:val="0"/>
          <w:numId w:val="22"/>
        </w:numPr>
        <w:spacing w:after="160" w:line="276" w:lineRule="auto"/>
        <w:ind w:hanging="371"/>
        <w:jc w:val="both"/>
      </w:pPr>
      <w:r>
        <w:t>Provide management with an assessment of their cybersecurity policies and procedures and their operating effectiveness.</w:t>
      </w:r>
    </w:p>
    <w:p w14:paraId="22D46B4C" w14:textId="77777777" w:rsidR="00F7653B" w:rsidRDefault="00F7653B" w:rsidP="0088130A">
      <w:pPr>
        <w:pStyle w:val="ListParagraph"/>
        <w:numPr>
          <w:ilvl w:val="0"/>
          <w:numId w:val="22"/>
        </w:numPr>
        <w:spacing w:after="160" w:line="276" w:lineRule="auto"/>
        <w:ind w:hanging="371"/>
        <w:jc w:val="both"/>
      </w:pPr>
      <w:r>
        <w:t>Identify security control concerns that could affect the reliability, accuracy and security of the enterprise data due to weaknesses in security controls.</w:t>
      </w:r>
    </w:p>
    <w:p w14:paraId="4A24FC3B" w14:textId="77777777" w:rsidR="00F7653B" w:rsidRDefault="00F7653B" w:rsidP="0088130A">
      <w:pPr>
        <w:pStyle w:val="ListParagraph"/>
        <w:numPr>
          <w:ilvl w:val="0"/>
          <w:numId w:val="22"/>
        </w:numPr>
        <w:spacing w:after="160" w:line="276" w:lineRule="auto"/>
        <w:ind w:hanging="371"/>
        <w:jc w:val="both"/>
      </w:pPr>
      <w:r>
        <w:t>Evaluate the effectiveness of response and recovery programs.</w:t>
      </w:r>
    </w:p>
    <w:p w14:paraId="1B60CBEF" w14:textId="77777777" w:rsidR="00F7653B" w:rsidRPr="006D0206" w:rsidRDefault="00F7653B" w:rsidP="0088130A">
      <w:pPr>
        <w:spacing w:line="276" w:lineRule="auto"/>
        <w:jc w:val="both"/>
        <w:rPr>
          <w:rFonts w:cs="Arial"/>
          <w:b/>
          <w:sz w:val="28"/>
          <w:szCs w:val="28"/>
        </w:rPr>
      </w:pPr>
    </w:p>
    <w:p w14:paraId="2BE9AA28" w14:textId="1795C5CC" w:rsidR="00D239A3" w:rsidRPr="00E34457" w:rsidRDefault="00D239A3" w:rsidP="0088130A">
      <w:pPr>
        <w:spacing w:line="276" w:lineRule="auto"/>
        <w:jc w:val="both"/>
        <w:rPr>
          <w:rFonts w:cs="Arial"/>
          <w:b/>
          <w:sz w:val="28"/>
          <w:szCs w:val="28"/>
        </w:rPr>
      </w:pPr>
      <w:r w:rsidRPr="00E34457">
        <w:rPr>
          <w:rFonts w:cs="Arial"/>
          <w:b/>
          <w:sz w:val="28"/>
          <w:szCs w:val="28"/>
        </w:rPr>
        <w:t>T</w:t>
      </w:r>
      <w:r w:rsidR="0088130A">
        <w:rPr>
          <w:rFonts w:cs="Arial"/>
          <w:b/>
          <w:sz w:val="28"/>
          <w:szCs w:val="28"/>
        </w:rPr>
        <w:t>HE</w:t>
      </w:r>
      <w:r w:rsidRPr="00E34457">
        <w:rPr>
          <w:rFonts w:cs="Arial"/>
          <w:b/>
          <w:sz w:val="28"/>
          <w:szCs w:val="28"/>
        </w:rPr>
        <w:t xml:space="preserve"> </w:t>
      </w:r>
      <w:r w:rsidR="0088130A">
        <w:rPr>
          <w:rFonts w:cs="Arial"/>
          <w:b/>
          <w:sz w:val="28"/>
          <w:szCs w:val="28"/>
        </w:rPr>
        <w:t>ELIGIBILITY</w:t>
      </w:r>
      <w:r w:rsidRPr="00E34457">
        <w:rPr>
          <w:rFonts w:cs="Arial"/>
          <w:b/>
          <w:sz w:val="28"/>
          <w:szCs w:val="28"/>
        </w:rPr>
        <w:t xml:space="preserve"> </w:t>
      </w:r>
      <w:r w:rsidR="0088130A">
        <w:rPr>
          <w:rFonts w:cs="Arial"/>
          <w:b/>
          <w:sz w:val="28"/>
          <w:szCs w:val="28"/>
        </w:rPr>
        <w:t>CRITERIA</w:t>
      </w:r>
      <w:r w:rsidRPr="00E34457">
        <w:rPr>
          <w:rFonts w:cs="Arial"/>
          <w:b/>
          <w:sz w:val="28"/>
          <w:szCs w:val="28"/>
        </w:rPr>
        <w:t xml:space="preserve"> </w:t>
      </w:r>
      <w:r w:rsidR="0088130A">
        <w:rPr>
          <w:rFonts w:cs="Arial"/>
          <w:b/>
          <w:sz w:val="28"/>
          <w:szCs w:val="28"/>
        </w:rPr>
        <w:t>ARE</w:t>
      </w:r>
      <w:r w:rsidRPr="00E34457">
        <w:rPr>
          <w:rFonts w:cs="Arial"/>
          <w:b/>
          <w:sz w:val="28"/>
          <w:szCs w:val="28"/>
        </w:rPr>
        <w:t xml:space="preserve"> </w:t>
      </w:r>
      <w:r w:rsidR="0088130A">
        <w:rPr>
          <w:rFonts w:cs="Arial"/>
          <w:b/>
          <w:sz w:val="28"/>
          <w:szCs w:val="28"/>
        </w:rPr>
        <w:t>AS</w:t>
      </w:r>
      <w:r w:rsidRPr="00E34457">
        <w:rPr>
          <w:rFonts w:cs="Arial"/>
          <w:b/>
          <w:sz w:val="28"/>
          <w:szCs w:val="28"/>
        </w:rPr>
        <w:t xml:space="preserve"> </w:t>
      </w:r>
      <w:r w:rsidR="0088130A">
        <w:rPr>
          <w:rFonts w:cs="Arial"/>
          <w:b/>
          <w:sz w:val="28"/>
          <w:szCs w:val="28"/>
        </w:rPr>
        <w:t>UNDER</w:t>
      </w:r>
      <w:r w:rsidRPr="00E34457">
        <w:rPr>
          <w:rFonts w:cs="Arial"/>
          <w:b/>
          <w:sz w:val="28"/>
          <w:szCs w:val="28"/>
        </w:rPr>
        <w:t xml:space="preserve">: </w:t>
      </w:r>
    </w:p>
    <w:p w14:paraId="3E3185FD" w14:textId="77777777" w:rsidR="00D239A3" w:rsidRPr="006D0206" w:rsidRDefault="00D239A3" w:rsidP="0088130A">
      <w:pPr>
        <w:spacing w:line="276" w:lineRule="auto"/>
        <w:jc w:val="both"/>
      </w:pPr>
    </w:p>
    <w:p w14:paraId="0CEE235D" w14:textId="26BFBB45" w:rsidR="00226DFB" w:rsidRDefault="00D239A3" w:rsidP="0088130A">
      <w:pPr>
        <w:pStyle w:val="ListParagraph"/>
        <w:numPr>
          <w:ilvl w:val="0"/>
          <w:numId w:val="18"/>
        </w:numPr>
        <w:spacing w:line="276" w:lineRule="auto"/>
        <w:jc w:val="both"/>
      </w:pPr>
      <w:r>
        <w:t xml:space="preserve">The vendor should </w:t>
      </w:r>
      <w:r w:rsidR="009717B7" w:rsidRPr="009624ED">
        <w:t>have at least 3 years of experience in information security</w:t>
      </w:r>
      <w:r w:rsidR="00226DFB">
        <w:t>.</w:t>
      </w:r>
      <w:r w:rsidR="006D0206">
        <w:t xml:space="preserve"> </w:t>
      </w:r>
    </w:p>
    <w:p w14:paraId="4442CDF2" w14:textId="161ED3AA" w:rsidR="000171FF" w:rsidRPr="000171FF" w:rsidRDefault="00D239A3" w:rsidP="0088130A">
      <w:pPr>
        <w:pStyle w:val="ListParagraph"/>
        <w:numPr>
          <w:ilvl w:val="0"/>
          <w:numId w:val="18"/>
        </w:numPr>
        <w:spacing w:line="276" w:lineRule="auto"/>
        <w:jc w:val="both"/>
        <w:rPr>
          <w:rFonts w:cs="Arial"/>
          <w:b/>
          <w:sz w:val="28"/>
          <w:szCs w:val="28"/>
        </w:rPr>
      </w:pPr>
      <w:r>
        <w:t xml:space="preserve">The vendor must </w:t>
      </w:r>
      <w:r w:rsidR="000171FF" w:rsidRPr="009624ED">
        <w:t>provide the number and scope of cybersecurity audits conducted in the last year.</w:t>
      </w:r>
      <w:r w:rsidR="000171FF">
        <w:rPr>
          <w:lang w:val="ka-GE"/>
        </w:rPr>
        <w:t xml:space="preserve"> </w:t>
      </w:r>
      <w:r w:rsidR="000171FF" w:rsidRPr="001E60D3">
        <w:t xml:space="preserve">The company must also provide at least </w:t>
      </w:r>
      <w:r w:rsidR="000171FF">
        <w:t>one</w:t>
      </w:r>
      <w:r w:rsidR="000171FF" w:rsidRPr="001E60D3">
        <w:t xml:space="preserve"> letter of recommendation on the successful completion of such an audit</w:t>
      </w:r>
      <w:r w:rsidR="000171FF">
        <w:t xml:space="preserve"> </w:t>
      </w:r>
    </w:p>
    <w:p w14:paraId="7CF7404D" w14:textId="4E6EDDCE" w:rsidR="00C93B5A" w:rsidRPr="000171FF" w:rsidRDefault="000171FF" w:rsidP="0088130A">
      <w:pPr>
        <w:pStyle w:val="ListParagraph"/>
        <w:numPr>
          <w:ilvl w:val="0"/>
          <w:numId w:val="18"/>
        </w:numPr>
        <w:spacing w:line="276" w:lineRule="auto"/>
        <w:jc w:val="both"/>
        <w:rPr>
          <w:rFonts w:cs="Arial"/>
        </w:rPr>
      </w:pPr>
      <w:r w:rsidRPr="000171FF">
        <w:rPr>
          <w:rFonts w:cs="Arial"/>
        </w:rPr>
        <w:t xml:space="preserve">The vendor must provide a </w:t>
      </w:r>
      <w:r w:rsidRPr="000171FF">
        <w:rPr>
          <w:rFonts w:cs="Arial"/>
          <w:lang w:val="ka-GE"/>
        </w:rPr>
        <w:t>list of certifications and the number of certified professionals on staff</w:t>
      </w:r>
      <w:r w:rsidRPr="000171FF">
        <w:rPr>
          <w:rFonts w:cs="Arial"/>
        </w:rPr>
        <w:t xml:space="preserve">, as well as, </w:t>
      </w:r>
      <w:r w:rsidRPr="000171FF">
        <w:rPr>
          <w:rFonts w:cs="Arial"/>
          <w:lang w:val="ka-GE"/>
        </w:rPr>
        <w:t>resumes of employees who will conduct the cybersecurity audit</w:t>
      </w:r>
      <w:r w:rsidRPr="000171FF">
        <w:rPr>
          <w:rFonts w:cs="Arial"/>
        </w:rPr>
        <w:t xml:space="preserve"> in FINCA Bank Georgia</w:t>
      </w:r>
    </w:p>
    <w:p w14:paraId="346ABAE4" w14:textId="657D83B6" w:rsidR="00C93B5A" w:rsidRPr="00C93B5A" w:rsidRDefault="00F82DC4" w:rsidP="0088130A">
      <w:pPr>
        <w:pStyle w:val="ListParagraph"/>
        <w:numPr>
          <w:ilvl w:val="0"/>
          <w:numId w:val="18"/>
        </w:numPr>
        <w:spacing w:line="276" w:lineRule="auto"/>
        <w:jc w:val="both"/>
        <w:rPr>
          <w:rFonts w:cs="Arial"/>
          <w:b/>
          <w:sz w:val="28"/>
          <w:szCs w:val="28"/>
        </w:rPr>
      </w:pPr>
      <w:r>
        <w:lastRenderedPageBreak/>
        <w:t>Audit team should have technical experience</w:t>
      </w:r>
      <w:r w:rsidR="00C93B5A">
        <w:t xml:space="preserve"> (</w:t>
      </w:r>
      <w:r w:rsidR="00A465BF">
        <w:t>verified</w:t>
      </w:r>
      <w:r w:rsidR="00EB0671">
        <w:t xml:space="preserve"> </w:t>
      </w:r>
      <w:r w:rsidR="00C93B5A">
        <w:t>t</w:t>
      </w:r>
      <w:r>
        <w:t xml:space="preserve">echnical qualification of audit team leader/team members in a form of </w:t>
      </w:r>
      <w:r w:rsidR="000171FF" w:rsidRPr="003F3FF5">
        <w:rPr>
          <w:lang w:val="ka-GE"/>
        </w:rPr>
        <w:t xml:space="preserve">CISA / CISSP </w:t>
      </w:r>
      <w:r w:rsidR="000171FF">
        <w:t xml:space="preserve">certification </w:t>
      </w:r>
      <w:r>
        <w:t xml:space="preserve">would be </w:t>
      </w:r>
      <w:r w:rsidR="00C93B5A">
        <w:t>considered</w:t>
      </w:r>
      <w:r>
        <w:t xml:space="preserve"> as advantage</w:t>
      </w:r>
      <w:r w:rsidR="00C93B5A">
        <w:t>)</w:t>
      </w:r>
      <w:r>
        <w:t xml:space="preserve">. </w:t>
      </w:r>
    </w:p>
    <w:p w14:paraId="56C3D727" w14:textId="30FD0520" w:rsidR="00C25EDB" w:rsidRDefault="0088130A" w:rsidP="00274A27">
      <w:pPr>
        <w:spacing w:line="276" w:lineRule="auto"/>
        <w:jc w:val="both"/>
        <w:rPr>
          <w:rFonts w:cs="Arial"/>
          <w:b/>
          <w:sz w:val="28"/>
          <w:szCs w:val="28"/>
        </w:rPr>
      </w:pPr>
      <w:r>
        <w:rPr>
          <w:rFonts w:cs="Arial"/>
          <w:b/>
          <w:sz w:val="28"/>
          <w:szCs w:val="28"/>
        </w:rPr>
        <w:t>CYBERSECURITY</w:t>
      </w:r>
      <w:r w:rsidR="008A701D">
        <w:rPr>
          <w:rFonts w:cs="Arial"/>
          <w:b/>
          <w:sz w:val="28"/>
          <w:szCs w:val="28"/>
        </w:rPr>
        <w:t xml:space="preserve"> </w:t>
      </w:r>
      <w:r>
        <w:rPr>
          <w:rFonts w:cs="Arial"/>
          <w:b/>
          <w:sz w:val="28"/>
          <w:szCs w:val="28"/>
        </w:rPr>
        <w:t>AUDIT</w:t>
      </w:r>
      <w:r w:rsidR="008A701D">
        <w:rPr>
          <w:rFonts w:cs="Arial"/>
          <w:b/>
          <w:sz w:val="28"/>
          <w:szCs w:val="28"/>
        </w:rPr>
        <w:t xml:space="preserve"> </w:t>
      </w:r>
      <w:r>
        <w:rPr>
          <w:rFonts w:cs="Arial"/>
          <w:b/>
          <w:sz w:val="28"/>
          <w:szCs w:val="28"/>
        </w:rPr>
        <w:t>SCOPE</w:t>
      </w:r>
      <w:r w:rsidR="00B24408">
        <w:rPr>
          <w:rFonts w:cs="Arial"/>
          <w:b/>
          <w:sz w:val="28"/>
          <w:szCs w:val="28"/>
        </w:rPr>
        <w:t xml:space="preserve"> </w:t>
      </w:r>
    </w:p>
    <w:p w14:paraId="646FD586" w14:textId="77777777" w:rsidR="00884611" w:rsidRDefault="00884611" w:rsidP="0088130A">
      <w:pPr>
        <w:spacing w:line="276" w:lineRule="auto"/>
        <w:jc w:val="both"/>
        <w:rPr>
          <w:rFonts w:cs="Arial"/>
          <w:b/>
          <w:sz w:val="28"/>
          <w:szCs w:val="28"/>
        </w:rPr>
      </w:pPr>
    </w:p>
    <w:p w14:paraId="20B945E4" w14:textId="563C5879" w:rsidR="00884611" w:rsidRPr="00E622A0" w:rsidRDefault="00884611" w:rsidP="0088130A">
      <w:pPr>
        <w:spacing w:line="276" w:lineRule="auto"/>
        <w:jc w:val="both"/>
        <w:rPr>
          <w:rFonts w:asciiTheme="minorHAnsi" w:hAnsiTheme="minorHAnsi"/>
          <w:b/>
          <w:bCs/>
          <w:lang w:val="ka-GE"/>
        </w:rPr>
      </w:pPr>
      <w:r>
        <w:rPr>
          <w:b/>
          <w:bCs/>
        </w:rPr>
        <w:t>C</w:t>
      </w:r>
      <w:r w:rsidRPr="0031436A">
        <w:rPr>
          <w:b/>
          <w:bCs/>
        </w:rPr>
        <w:t xml:space="preserve">ybersecurity audit </w:t>
      </w:r>
      <w:r>
        <w:rPr>
          <w:b/>
          <w:bCs/>
        </w:rPr>
        <w:t>must c</w:t>
      </w:r>
      <w:r w:rsidR="009A7365">
        <w:rPr>
          <w:b/>
          <w:bCs/>
        </w:rPr>
        <w:t>o</w:t>
      </w:r>
      <w:r>
        <w:rPr>
          <w:b/>
          <w:bCs/>
        </w:rPr>
        <w:t xml:space="preserve">ver all requirements </w:t>
      </w:r>
      <w:r w:rsidRPr="0031436A">
        <w:rPr>
          <w:b/>
          <w:bCs/>
        </w:rPr>
        <w:t>Regulation of the National Bank of Georgia on the ‘Cybersecurity Management Framework of Commercial Banks’ Approved by Decree N56/04 of March 22, 2019</w:t>
      </w:r>
      <w:r w:rsidR="00F7653B">
        <w:rPr>
          <w:rFonts w:ascii="Sylfaen" w:hAnsi="Sylfaen"/>
          <w:b/>
          <w:bCs/>
          <w:lang w:val="ka-GE"/>
        </w:rPr>
        <w:t>.</w:t>
      </w:r>
    </w:p>
    <w:p w14:paraId="112836D3" w14:textId="77777777" w:rsidR="00846BDB" w:rsidRDefault="00846BDB" w:rsidP="0088130A">
      <w:pPr>
        <w:spacing w:line="276" w:lineRule="auto"/>
        <w:jc w:val="both"/>
      </w:pPr>
    </w:p>
    <w:p w14:paraId="5188EBDF" w14:textId="1C0A50EB" w:rsidR="00846BDB" w:rsidRDefault="00846BDB" w:rsidP="0088130A">
      <w:pPr>
        <w:spacing w:line="276" w:lineRule="auto"/>
        <w:jc w:val="both"/>
      </w:pPr>
      <w:r>
        <w:t>A</w:t>
      </w:r>
      <w:r w:rsidRPr="00D65A3F">
        <w:t xml:space="preserve">udit must </w:t>
      </w:r>
      <w:r>
        <w:t>cover</w:t>
      </w:r>
      <w:r w:rsidRPr="00D65A3F">
        <w:t xml:space="preserve"> risks associated with confidentiality, integrity and availability of systems.</w:t>
      </w:r>
      <w:r>
        <w:t xml:space="preserve"> </w:t>
      </w:r>
      <w:r w:rsidRPr="00AD7372">
        <w:t xml:space="preserve">The scope of the audit </w:t>
      </w:r>
      <w:r>
        <w:t>must</w:t>
      </w:r>
      <w:r w:rsidRPr="00AD7372">
        <w:t xml:space="preserve"> include all systems and assets of the Bank.</w:t>
      </w:r>
      <w:r>
        <w:t xml:space="preserve"> The audit program should be based on the following five critical cybersecurity Functions:  </w:t>
      </w:r>
    </w:p>
    <w:p w14:paraId="52CF0CE7" w14:textId="77777777" w:rsidR="00846BDB" w:rsidRDefault="00846BDB" w:rsidP="00274A27">
      <w:pPr>
        <w:jc w:val="both"/>
      </w:pPr>
    </w:p>
    <w:tbl>
      <w:tblPr>
        <w:tblW w:w="5000" w:type="pct"/>
        <w:tblLook w:val="04A0" w:firstRow="1" w:lastRow="0" w:firstColumn="1" w:lastColumn="0" w:noHBand="0" w:noVBand="1"/>
      </w:tblPr>
      <w:tblGrid>
        <w:gridCol w:w="2113"/>
        <w:gridCol w:w="7626"/>
      </w:tblGrid>
      <w:tr w:rsidR="00846BDB" w:rsidRPr="003D09B6" w14:paraId="4375296D" w14:textId="77777777" w:rsidTr="0088130A">
        <w:trPr>
          <w:trHeight w:val="530"/>
        </w:trPr>
        <w:tc>
          <w:tcPr>
            <w:tcW w:w="10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AFE97B2" w14:textId="77777777" w:rsidR="00846BDB" w:rsidRPr="003D09B6" w:rsidRDefault="00846BDB" w:rsidP="0088130A">
            <w:pPr>
              <w:jc w:val="center"/>
              <w:rPr>
                <w:rFonts w:cs="Arial"/>
                <w:b/>
                <w:bCs/>
                <w:sz w:val="24"/>
              </w:rPr>
            </w:pPr>
            <w:r w:rsidRPr="003D09B6">
              <w:rPr>
                <w:rFonts w:cs="Arial"/>
                <w:b/>
                <w:bCs/>
                <w:sz w:val="24"/>
              </w:rPr>
              <w:t>Sub processes</w:t>
            </w:r>
          </w:p>
        </w:tc>
        <w:tc>
          <w:tcPr>
            <w:tcW w:w="3915" w:type="pct"/>
            <w:tcBorders>
              <w:top w:val="single" w:sz="4" w:space="0" w:color="auto"/>
              <w:left w:val="nil"/>
              <w:bottom w:val="single" w:sz="4" w:space="0" w:color="auto"/>
              <w:right w:val="single" w:sz="4" w:space="0" w:color="auto"/>
            </w:tcBorders>
            <w:shd w:val="clear" w:color="000000" w:fill="F2F2F2"/>
            <w:vAlign w:val="center"/>
            <w:hideMark/>
          </w:tcPr>
          <w:p w14:paraId="540E4B8C" w14:textId="77777777" w:rsidR="00846BDB" w:rsidRPr="003D09B6" w:rsidRDefault="00846BDB" w:rsidP="0088130A">
            <w:pPr>
              <w:jc w:val="center"/>
              <w:rPr>
                <w:rFonts w:cs="Arial"/>
                <w:b/>
                <w:bCs/>
                <w:sz w:val="24"/>
              </w:rPr>
            </w:pPr>
            <w:r w:rsidRPr="003D09B6">
              <w:rPr>
                <w:rFonts w:cs="Arial"/>
                <w:b/>
                <w:bCs/>
                <w:sz w:val="24"/>
              </w:rPr>
              <w:t>Category</w:t>
            </w:r>
          </w:p>
        </w:tc>
      </w:tr>
      <w:tr w:rsidR="00846BDB" w:rsidRPr="003D09B6" w14:paraId="7BD650E5" w14:textId="77777777" w:rsidTr="0088130A">
        <w:trPr>
          <w:trHeight w:val="1070"/>
        </w:trPr>
        <w:tc>
          <w:tcPr>
            <w:tcW w:w="1085" w:type="pct"/>
            <w:vMerge w:val="restart"/>
            <w:tcBorders>
              <w:top w:val="nil"/>
              <w:left w:val="single" w:sz="4" w:space="0" w:color="auto"/>
              <w:bottom w:val="single" w:sz="4" w:space="0" w:color="auto"/>
              <w:right w:val="single" w:sz="4" w:space="0" w:color="auto"/>
            </w:tcBorders>
            <w:shd w:val="clear" w:color="000000" w:fill="F2F2F2"/>
            <w:vAlign w:val="center"/>
            <w:hideMark/>
          </w:tcPr>
          <w:p w14:paraId="00C32633" w14:textId="77777777" w:rsidR="00846BDB" w:rsidRPr="003D09B6" w:rsidRDefault="00846BDB" w:rsidP="00274A27">
            <w:pPr>
              <w:jc w:val="both"/>
              <w:rPr>
                <w:rFonts w:cs="Arial"/>
                <w:b/>
                <w:bCs/>
                <w:szCs w:val="20"/>
              </w:rPr>
            </w:pPr>
            <w:r w:rsidRPr="003D09B6">
              <w:rPr>
                <w:rFonts w:cs="Arial"/>
                <w:b/>
                <w:bCs/>
                <w:szCs w:val="20"/>
              </w:rPr>
              <w:t>IDENTIFY - an organizational understanding to manage cybersecurity risk to systems, people, assets, data, processes and capabilities.</w:t>
            </w:r>
          </w:p>
        </w:tc>
        <w:tc>
          <w:tcPr>
            <w:tcW w:w="3915" w:type="pct"/>
            <w:tcBorders>
              <w:top w:val="nil"/>
              <w:left w:val="nil"/>
              <w:bottom w:val="single" w:sz="4" w:space="0" w:color="auto"/>
              <w:right w:val="single" w:sz="4" w:space="0" w:color="auto"/>
            </w:tcBorders>
            <w:shd w:val="clear" w:color="auto" w:fill="auto"/>
            <w:vAlign w:val="center"/>
            <w:hideMark/>
          </w:tcPr>
          <w:p w14:paraId="599D1FB5" w14:textId="77777777" w:rsidR="00846BDB" w:rsidRPr="003D09B6" w:rsidRDefault="00846BDB" w:rsidP="00274A27">
            <w:pPr>
              <w:jc w:val="both"/>
              <w:rPr>
                <w:rFonts w:cs="Arial"/>
                <w:b/>
                <w:bCs/>
                <w:color w:val="000000"/>
                <w:szCs w:val="20"/>
              </w:rPr>
            </w:pPr>
            <w:r w:rsidRPr="003D09B6">
              <w:rPr>
                <w:rFonts w:cs="Arial"/>
                <w:b/>
                <w:bCs/>
                <w:color w:val="000000"/>
                <w:szCs w:val="20"/>
              </w:rPr>
              <w:t>Asset Management</w:t>
            </w:r>
            <w:r w:rsidRPr="003D09B6">
              <w:rPr>
                <w:rFonts w:cs="Arial"/>
                <w:color w:val="000000"/>
                <w:szCs w:val="20"/>
              </w:rPr>
              <w:t xml:space="preserve"> - The data, personnel, devices, systems, and facilities that enable the organization to achieve business purposes are identified and managed consistent with their relative importance to organizational objectives and the organization’s risk strategy.</w:t>
            </w:r>
          </w:p>
        </w:tc>
      </w:tr>
      <w:tr w:rsidR="00846BDB" w:rsidRPr="003D09B6" w14:paraId="17DF1A89" w14:textId="77777777" w:rsidTr="0088130A">
        <w:trPr>
          <w:trHeight w:val="863"/>
        </w:trPr>
        <w:tc>
          <w:tcPr>
            <w:tcW w:w="1085" w:type="pct"/>
            <w:vMerge/>
            <w:tcBorders>
              <w:top w:val="nil"/>
              <w:left w:val="single" w:sz="4" w:space="0" w:color="auto"/>
              <w:bottom w:val="single" w:sz="4" w:space="0" w:color="auto"/>
              <w:right w:val="single" w:sz="4" w:space="0" w:color="auto"/>
            </w:tcBorders>
            <w:vAlign w:val="center"/>
            <w:hideMark/>
          </w:tcPr>
          <w:p w14:paraId="67EA6D4E"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27703CF4" w14:textId="77777777" w:rsidR="00846BDB" w:rsidRPr="003D09B6" w:rsidRDefault="00846BDB" w:rsidP="00274A27">
            <w:pPr>
              <w:jc w:val="both"/>
              <w:rPr>
                <w:rFonts w:cs="Arial"/>
                <w:b/>
                <w:bCs/>
                <w:color w:val="000000"/>
                <w:szCs w:val="20"/>
              </w:rPr>
            </w:pPr>
            <w:r w:rsidRPr="003D09B6">
              <w:rPr>
                <w:rFonts w:cs="Arial"/>
                <w:b/>
                <w:bCs/>
                <w:color w:val="000000"/>
                <w:szCs w:val="20"/>
              </w:rPr>
              <w:t>Business Environment</w:t>
            </w:r>
            <w:r w:rsidRPr="003D09B6">
              <w:rPr>
                <w:rFonts w:cs="Arial"/>
                <w:color w:val="000000"/>
                <w:szCs w:val="20"/>
              </w:rPr>
              <w:t xml:space="preserve"> - The organization’s mission, objectives, stakeholders, and activities are understood and prioritized; this information is used to inform cybersecurity roles, responsibilities, and risk management decisions.</w:t>
            </w:r>
          </w:p>
        </w:tc>
      </w:tr>
      <w:tr w:rsidR="00846BDB" w:rsidRPr="003D09B6" w14:paraId="0D498860" w14:textId="77777777" w:rsidTr="0088130A">
        <w:trPr>
          <w:trHeight w:val="962"/>
        </w:trPr>
        <w:tc>
          <w:tcPr>
            <w:tcW w:w="1085" w:type="pct"/>
            <w:vMerge/>
            <w:tcBorders>
              <w:top w:val="nil"/>
              <w:left w:val="single" w:sz="4" w:space="0" w:color="auto"/>
              <w:bottom w:val="single" w:sz="4" w:space="0" w:color="auto"/>
              <w:right w:val="single" w:sz="4" w:space="0" w:color="auto"/>
            </w:tcBorders>
            <w:vAlign w:val="center"/>
            <w:hideMark/>
          </w:tcPr>
          <w:p w14:paraId="6509AE98"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3F7BD93B" w14:textId="77777777" w:rsidR="00846BDB" w:rsidRPr="003D09B6" w:rsidRDefault="00846BDB" w:rsidP="00274A27">
            <w:pPr>
              <w:jc w:val="both"/>
              <w:rPr>
                <w:rFonts w:cs="Arial"/>
                <w:b/>
                <w:bCs/>
                <w:color w:val="000000"/>
                <w:szCs w:val="20"/>
              </w:rPr>
            </w:pPr>
            <w:r w:rsidRPr="003D09B6">
              <w:rPr>
                <w:rFonts w:cs="Arial"/>
                <w:b/>
                <w:bCs/>
                <w:color w:val="000000"/>
                <w:szCs w:val="20"/>
              </w:rPr>
              <w:t>Governance</w:t>
            </w:r>
            <w:r w:rsidRPr="003D09B6">
              <w:rPr>
                <w:rFonts w:cs="Arial"/>
                <w:color w:val="000000"/>
                <w:szCs w:val="20"/>
              </w:rPr>
              <w:t xml:space="preserve"> - The policies, procedures, and processes to manage and monitor the organization’s regulatory, legal, risk, environmental, and operational requirements are understood and inform the management of cybersecurity risk.</w:t>
            </w:r>
          </w:p>
        </w:tc>
      </w:tr>
      <w:tr w:rsidR="00846BDB" w:rsidRPr="003D09B6" w14:paraId="598E50A5" w14:textId="77777777" w:rsidTr="0088130A">
        <w:trPr>
          <w:trHeight w:val="710"/>
        </w:trPr>
        <w:tc>
          <w:tcPr>
            <w:tcW w:w="1085" w:type="pct"/>
            <w:vMerge/>
            <w:tcBorders>
              <w:top w:val="nil"/>
              <w:left w:val="single" w:sz="4" w:space="0" w:color="auto"/>
              <w:bottom w:val="single" w:sz="4" w:space="0" w:color="auto"/>
              <w:right w:val="single" w:sz="4" w:space="0" w:color="auto"/>
            </w:tcBorders>
            <w:vAlign w:val="center"/>
            <w:hideMark/>
          </w:tcPr>
          <w:p w14:paraId="5901797B"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289E3CC6" w14:textId="77777777" w:rsidR="00846BDB" w:rsidRPr="003D09B6" w:rsidRDefault="00846BDB" w:rsidP="00274A27">
            <w:pPr>
              <w:jc w:val="both"/>
              <w:rPr>
                <w:rFonts w:cs="Arial"/>
                <w:b/>
                <w:bCs/>
                <w:color w:val="000000"/>
                <w:szCs w:val="20"/>
              </w:rPr>
            </w:pPr>
            <w:r w:rsidRPr="003D09B6">
              <w:rPr>
                <w:rFonts w:cs="Arial"/>
                <w:b/>
                <w:bCs/>
                <w:color w:val="000000"/>
                <w:szCs w:val="20"/>
              </w:rPr>
              <w:t>Risk Assessment</w:t>
            </w:r>
            <w:r w:rsidRPr="003D09B6">
              <w:rPr>
                <w:rFonts w:cs="Arial"/>
                <w:color w:val="000000"/>
                <w:szCs w:val="20"/>
              </w:rPr>
              <w:t xml:space="preserve"> - The organization understands the cybersecurity risk to organizational operations (including mission, functions, image, or reputation), organizational assets, and individuals.</w:t>
            </w:r>
          </w:p>
        </w:tc>
      </w:tr>
      <w:tr w:rsidR="00846BDB" w:rsidRPr="003D09B6" w14:paraId="35BD0968" w14:textId="77777777" w:rsidTr="00274A27">
        <w:trPr>
          <w:trHeight w:val="522"/>
        </w:trPr>
        <w:tc>
          <w:tcPr>
            <w:tcW w:w="1085" w:type="pct"/>
            <w:vMerge w:val="restart"/>
            <w:tcBorders>
              <w:top w:val="nil"/>
              <w:left w:val="single" w:sz="4" w:space="0" w:color="auto"/>
              <w:bottom w:val="single" w:sz="4" w:space="0" w:color="auto"/>
              <w:right w:val="single" w:sz="4" w:space="0" w:color="auto"/>
            </w:tcBorders>
            <w:shd w:val="clear" w:color="000000" w:fill="F2F2F2"/>
            <w:vAlign w:val="center"/>
            <w:hideMark/>
          </w:tcPr>
          <w:p w14:paraId="43B8A62E" w14:textId="77777777" w:rsidR="00846BDB" w:rsidRPr="003D09B6" w:rsidRDefault="00846BDB" w:rsidP="00274A27">
            <w:pPr>
              <w:jc w:val="both"/>
              <w:rPr>
                <w:rFonts w:cs="Arial"/>
                <w:b/>
                <w:bCs/>
                <w:szCs w:val="20"/>
              </w:rPr>
            </w:pPr>
            <w:r w:rsidRPr="003D09B6">
              <w:rPr>
                <w:rFonts w:cs="Arial"/>
                <w:b/>
                <w:bCs/>
                <w:szCs w:val="20"/>
              </w:rPr>
              <w:t xml:space="preserve">PROTECT: appropriate safeguards to ensure delivery of critical services. </w:t>
            </w:r>
          </w:p>
        </w:tc>
        <w:tc>
          <w:tcPr>
            <w:tcW w:w="3915" w:type="pct"/>
            <w:tcBorders>
              <w:top w:val="nil"/>
              <w:left w:val="nil"/>
              <w:bottom w:val="single" w:sz="4" w:space="0" w:color="auto"/>
              <w:right w:val="single" w:sz="4" w:space="0" w:color="auto"/>
            </w:tcBorders>
            <w:shd w:val="clear" w:color="auto" w:fill="auto"/>
            <w:vAlign w:val="center"/>
            <w:hideMark/>
          </w:tcPr>
          <w:p w14:paraId="1DCBFD31" w14:textId="77777777" w:rsidR="00846BDB" w:rsidRPr="003D09B6" w:rsidRDefault="00846BDB" w:rsidP="00274A27">
            <w:pPr>
              <w:jc w:val="both"/>
              <w:rPr>
                <w:rFonts w:cs="Arial"/>
                <w:b/>
                <w:bCs/>
                <w:color w:val="000000"/>
                <w:szCs w:val="20"/>
              </w:rPr>
            </w:pPr>
            <w:r w:rsidRPr="003D09B6">
              <w:rPr>
                <w:rFonts w:cs="Arial"/>
                <w:b/>
                <w:bCs/>
                <w:color w:val="000000"/>
                <w:szCs w:val="20"/>
              </w:rPr>
              <w:t>Access Control</w:t>
            </w:r>
            <w:r w:rsidRPr="003D09B6">
              <w:rPr>
                <w:rFonts w:cs="Arial"/>
                <w:color w:val="000000"/>
                <w:szCs w:val="20"/>
              </w:rPr>
              <w:t xml:space="preserve"> - Access to assets and associated facilities is limited to authorized users, processes, or devices, and to authorized activities and transactions.</w:t>
            </w:r>
          </w:p>
        </w:tc>
      </w:tr>
      <w:tr w:rsidR="00846BDB" w:rsidRPr="003D09B6" w14:paraId="4E4AD22B" w14:textId="77777777" w:rsidTr="0088130A">
        <w:trPr>
          <w:trHeight w:val="1043"/>
        </w:trPr>
        <w:tc>
          <w:tcPr>
            <w:tcW w:w="1085" w:type="pct"/>
            <w:vMerge/>
            <w:tcBorders>
              <w:top w:val="nil"/>
              <w:left w:val="single" w:sz="4" w:space="0" w:color="auto"/>
              <w:bottom w:val="single" w:sz="4" w:space="0" w:color="auto"/>
              <w:right w:val="single" w:sz="4" w:space="0" w:color="auto"/>
            </w:tcBorders>
            <w:vAlign w:val="center"/>
            <w:hideMark/>
          </w:tcPr>
          <w:p w14:paraId="301EB4FF"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251268CA" w14:textId="77777777" w:rsidR="00846BDB" w:rsidRPr="003D09B6" w:rsidRDefault="00846BDB" w:rsidP="00274A27">
            <w:pPr>
              <w:jc w:val="both"/>
              <w:rPr>
                <w:rFonts w:cs="Arial"/>
                <w:b/>
                <w:bCs/>
                <w:color w:val="000000"/>
                <w:szCs w:val="20"/>
              </w:rPr>
            </w:pPr>
            <w:r w:rsidRPr="003D09B6">
              <w:rPr>
                <w:rFonts w:cs="Arial"/>
                <w:b/>
                <w:bCs/>
                <w:color w:val="000000"/>
                <w:szCs w:val="20"/>
              </w:rPr>
              <w:t>Awareness and Training</w:t>
            </w:r>
            <w:r w:rsidRPr="003D09B6">
              <w:rPr>
                <w:rFonts w:cs="Arial"/>
                <w:color w:val="000000"/>
                <w:szCs w:val="20"/>
              </w:rPr>
              <w:t xml:space="preserve"> - The organization’s personnel and partners are provided cybersecurity awareness education and are adequately trained to perform their information security-related duties and responsibilities consistent with related policies, procedures, and agreements</w:t>
            </w:r>
          </w:p>
        </w:tc>
      </w:tr>
      <w:tr w:rsidR="00846BDB" w:rsidRPr="003D09B6" w14:paraId="037F3EBD" w14:textId="77777777" w:rsidTr="0088130A">
        <w:trPr>
          <w:trHeight w:val="827"/>
        </w:trPr>
        <w:tc>
          <w:tcPr>
            <w:tcW w:w="1085" w:type="pct"/>
            <w:vMerge/>
            <w:tcBorders>
              <w:top w:val="nil"/>
              <w:left w:val="single" w:sz="4" w:space="0" w:color="auto"/>
              <w:bottom w:val="single" w:sz="4" w:space="0" w:color="auto"/>
              <w:right w:val="single" w:sz="4" w:space="0" w:color="auto"/>
            </w:tcBorders>
            <w:vAlign w:val="center"/>
            <w:hideMark/>
          </w:tcPr>
          <w:p w14:paraId="276D8BB9"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3095F25A" w14:textId="77777777" w:rsidR="00846BDB" w:rsidRPr="003D09B6" w:rsidRDefault="00846BDB" w:rsidP="00274A27">
            <w:pPr>
              <w:jc w:val="both"/>
              <w:rPr>
                <w:rFonts w:cs="Arial"/>
                <w:b/>
                <w:bCs/>
                <w:color w:val="000000"/>
                <w:szCs w:val="20"/>
              </w:rPr>
            </w:pPr>
            <w:r w:rsidRPr="003D09B6">
              <w:rPr>
                <w:rFonts w:cs="Arial"/>
                <w:b/>
                <w:bCs/>
                <w:color w:val="000000"/>
                <w:szCs w:val="20"/>
              </w:rPr>
              <w:t>Data Security</w:t>
            </w:r>
            <w:r w:rsidRPr="003D09B6">
              <w:rPr>
                <w:rFonts w:cs="Arial"/>
                <w:color w:val="000000"/>
                <w:szCs w:val="20"/>
              </w:rPr>
              <w:t xml:space="preserve"> - Information and records (data) are managed consistent with the organization’s risk strategy to protect the confidentiality, integrity, and availability of information.</w:t>
            </w:r>
          </w:p>
        </w:tc>
      </w:tr>
      <w:tr w:rsidR="00846BDB" w:rsidRPr="003D09B6" w14:paraId="1FD80169" w14:textId="77777777" w:rsidTr="0088130A">
        <w:trPr>
          <w:trHeight w:val="1115"/>
        </w:trPr>
        <w:tc>
          <w:tcPr>
            <w:tcW w:w="1085" w:type="pct"/>
            <w:vMerge/>
            <w:tcBorders>
              <w:top w:val="nil"/>
              <w:left w:val="single" w:sz="4" w:space="0" w:color="auto"/>
              <w:bottom w:val="single" w:sz="4" w:space="0" w:color="auto"/>
              <w:right w:val="single" w:sz="4" w:space="0" w:color="auto"/>
            </w:tcBorders>
            <w:vAlign w:val="center"/>
            <w:hideMark/>
          </w:tcPr>
          <w:p w14:paraId="43969C8C"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04007011" w14:textId="77777777" w:rsidR="00846BDB" w:rsidRPr="003D09B6" w:rsidRDefault="00846BDB" w:rsidP="00274A27">
            <w:pPr>
              <w:jc w:val="both"/>
              <w:rPr>
                <w:rFonts w:cs="Arial"/>
                <w:b/>
                <w:bCs/>
                <w:color w:val="000000"/>
                <w:szCs w:val="20"/>
              </w:rPr>
            </w:pPr>
            <w:r w:rsidRPr="003D09B6">
              <w:rPr>
                <w:rFonts w:cs="Arial"/>
                <w:b/>
                <w:bCs/>
                <w:color w:val="000000"/>
                <w:szCs w:val="20"/>
              </w:rPr>
              <w:t>Information Protection Processes and Procedures</w:t>
            </w:r>
            <w:r w:rsidRPr="003D09B6">
              <w:rPr>
                <w:rFonts w:cs="Arial"/>
                <w:color w:val="000000"/>
                <w:szCs w:val="20"/>
              </w:rPr>
              <w:t xml:space="preserve"> - Security policies (that address purpose, scope, roles, responsibilities, management commitment, and coordination among organizational entities), processes, and procedures are maintained and used to manage protection of information systems and assets.</w:t>
            </w:r>
          </w:p>
        </w:tc>
      </w:tr>
      <w:tr w:rsidR="00846BDB" w:rsidRPr="003D09B6" w14:paraId="10EAA1EC" w14:textId="77777777" w:rsidTr="0088130A">
        <w:trPr>
          <w:trHeight w:val="620"/>
        </w:trPr>
        <w:tc>
          <w:tcPr>
            <w:tcW w:w="1085" w:type="pct"/>
            <w:vMerge/>
            <w:tcBorders>
              <w:top w:val="nil"/>
              <w:left w:val="single" w:sz="4" w:space="0" w:color="auto"/>
              <w:bottom w:val="single" w:sz="4" w:space="0" w:color="auto"/>
              <w:right w:val="single" w:sz="4" w:space="0" w:color="auto"/>
            </w:tcBorders>
            <w:vAlign w:val="center"/>
            <w:hideMark/>
          </w:tcPr>
          <w:p w14:paraId="3CBAECB1"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6A170A14" w14:textId="77777777" w:rsidR="00846BDB" w:rsidRPr="003D09B6" w:rsidRDefault="00846BDB" w:rsidP="00274A27">
            <w:pPr>
              <w:jc w:val="both"/>
              <w:rPr>
                <w:rFonts w:cs="Arial"/>
                <w:b/>
                <w:bCs/>
                <w:color w:val="000000"/>
                <w:szCs w:val="20"/>
              </w:rPr>
            </w:pPr>
            <w:r w:rsidRPr="003D09B6">
              <w:rPr>
                <w:rFonts w:cs="Arial"/>
                <w:b/>
                <w:bCs/>
                <w:color w:val="000000"/>
                <w:szCs w:val="20"/>
              </w:rPr>
              <w:t>Maintenance</w:t>
            </w:r>
            <w:r w:rsidRPr="003D09B6">
              <w:rPr>
                <w:rFonts w:cs="Arial"/>
                <w:color w:val="000000"/>
                <w:szCs w:val="20"/>
              </w:rPr>
              <w:t xml:space="preserve"> - Maintenance and repairs of information system components is performed consistent with policies and procedures.</w:t>
            </w:r>
          </w:p>
        </w:tc>
      </w:tr>
      <w:tr w:rsidR="00846BDB" w:rsidRPr="003D09B6" w14:paraId="429A0429" w14:textId="77777777" w:rsidTr="0088130A">
        <w:trPr>
          <w:trHeight w:val="620"/>
        </w:trPr>
        <w:tc>
          <w:tcPr>
            <w:tcW w:w="1085" w:type="pct"/>
            <w:vMerge/>
            <w:tcBorders>
              <w:top w:val="nil"/>
              <w:left w:val="single" w:sz="4" w:space="0" w:color="auto"/>
              <w:bottom w:val="single" w:sz="4" w:space="0" w:color="auto"/>
              <w:right w:val="single" w:sz="4" w:space="0" w:color="auto"/>
            </w:tcBorders>
            <w:vAlign w:val="center"/>
            <w:hideMark/>
          </w:tcPr>
          <w:p w14:paraId="1452897E"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3D716770" w14:textId="77777777" w:rsidR="00846BDB" w:rsidRPr="003D09B6" w:rsidRDefault="00846BDB" w:rsidP="00274A27">
            <w:pPr>
              <w:jc w:val="both"/>
              <w:rPr>
                <w:rFonts w:cs="Arial"/>
                <w:b/>
                <w:bCs/>
                <w:color w:val="000000"/>
                <w:szCs w:val="20"/>
              </w:rPr>
            </w:pPr>
            <w:r w:rsidRPr="003D09B6">
              <w:rPr>
                <w:rFonts w:cs="Arial"/>
                <w:b/>
                <w:bCs/>
                <w:color w:val="000000"/>
                <w:szCs w:val="20"/>
              </w:rPr>
              <w:t>Protective Technology</w:t>
            </w:r>
            <w:r w:rsidRPr="003D09B6">
              <w:rPr>
                <w:rFonts w:cs="Arial"/>
                <w:color w:val="000000"/>
                <w:szCs w:val="20"/>
              </w:rPr>
              <w:t xml:space="preserve"> - Technical security solutions are managed to ensure the security and resilience of systems and assets, consistent with related policies, procedures, and agreements.</w:t>
            </w:r>
          </w:p>
        </w:tc>
      </w:tr>
      <w:tr w:rsidR="00846BDB" w:rsidRPr="003D09B6" w14:paraId="5BC2CDE4" w14:textId="77777777" w:rsidTr="0088130A">
        <w:trPr>
          <w:trHeight w:val="638"/>
        </w:trPr>
        <w:tc>
          <w:tcPr>
            <w:tcW w:w="1085" w:type="pct"/>
            <w:vMerge w:val="restart"/>
            <w:tcBorders>
              <w:top w:val="nil"/>
              <w:left w:val="single" w:sz="4" w:space="0" w:color="auto"/>
              <w:bottom w:val="single" w:sz="4" w:space="0" w:color="auto"/>
              <w:right w:val="single" w:sz="4" w:space="0" w:color="auto"/>
            </w:tcBorders>
            <w:shd w:val="clear" w:color="000000" w:fill="F2F2F2"/>
            <w:vAlign w:val="center"/>
            <w:hideMark/>
          </w:tcPr>
          <w:p w14:paraId="299E75E2" w14:textId="77777777" w:rsidR="00846BDB" w:rsidRPr="003D09B6" w:rsidRDefault="00846BDB" w:rsidP="00274A27">
            <w:pPr>
              <w:jc w:val="both"/>
              <w:rPr>
                <w:rFonts w:cs="Arial"/>
                <w:b/>
                <w:bCs/>
                <w:szCs w:val="20"/>
              </w:rPr>
            </w:pPr>
            <w:r w:rsidRPr="003D09B6">
              <w:rPr>
                <w:rFonts w:cs="Arial"/>
                <w:b/>
                <w:bCs/>
                <w:szCs w:val="20"/>
              </w:rPr>
              <w:t xml:space="preserve">DETECT: appropriate </w:t>
            </w:r>
            <w:r w:rsidRPr="003D09B6">
              <w:rPr>
                <w:rFonts w:cs="Arial"/>
                <w:b/>
                <w:bCs/>
                <w:szCs w:val="20"/>
              </w:rPr>
              <w:lastRenderedPageBreak/>
              <w:t xml:space="preserve">activities to identify the occurrence of a cybersecurity event. </w:t>
            </w:r>
          </w:p>
        </w:tc>
        <w:tc>
          <w:tcPr>
            <w:tcW w:w="3915" w:type="pct"/>
            <w:tcBorders>
              <w:top w:val="nil"/>
              <w:left w:val="nil"/>
              <w:bottom w:val="single" w:sz="4" w:space="0" w:color="auto"/>
              <w:right w:val="single" w:sz="4" w:space="0" w:color="auto"/>
            </w:tcBorders>
            <w:shd w:val="clear" w:color="auto" w:fill="auto"/>
            <w:vAlign w:val="center"/>
            <w:hideMark/>
          </w:tcPr>
          <w:p w14:paraId="3F1D228A" w14:textId="77777777" w:rsidR="00846BDB" w:rsidRPr="003D09B6" w:rsidRDefault="00846BDB" w:rsidP="00274A27">
            <w:pPr>
              <w:jc w:val="both"/>
              <w:rPr>
                <w:rFonts w:cs="Arial"/>
                <w:b/>
                <w:bCs/>
                <w:color w:val="000000"/>
                <w:szCs w:val="20"/>
              </w:rPr>
            </w:pPr>
            <w:r w:rsidRPr="003D09B6">
              <w:rPr>
                <w:rFonts w:cs="Arial"/>
                <w:b/>
                <w:bCs/>
                <w:color w:val="000000"/>
                <w:szCs w:val="20"/>
              </w:rPr>
              <w:lastRenderedPageBreak/>
              <w:t>Anomalies and Events</w:t>
            </w:r>
            <w:r w:rsidRPr="003D09B6">
              <w:rPr>
                <w:rFonts w:cs="Arial"/>
                <w:color w:val="000000"/>
                <w:szCs w:val="20"/>
              </w:rPr>
              <w:t xml:space="preserve"> - Anomalous activity is detected and the potential impact of events is understood.</w:t>
            </w:r>
          </w:p>
        </w:tc>
      </w:tr>
      <w:tr w:rsidR="00846BDB" w:rsidRPr="003D09B6" w14:paraId="59DD371F" w14:textId="77777777" w:rsidTr="00274A27">
        <w:trPr>
          <w:trHeight w:val="1088"/>
        </w:trPr>
        <w:tc>
          <w:tcPr>
            <w:tcW w:w="1085" w:type="pct"/>
            <w:vMerge/>
            <w:tcBorders>
              <w:top w:val="nil"/>
              <w:left w:val="single" w:sz="4" w:space="0" w:color="auto"/>
              <w:bottom w:val="single" w:sz="4" w:space="0" w:color="auto"/>
              <w:right w:val="single" w:sz="4" w:space="0" w:color="auto"/>
            </w:tcBorders>
            <w:vAlign w:val="center"/>
            <w:hideMark/>
          </w:tcPr>
          <w:p w14:paraId="5B6181C9"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46BCF3AE" w14:textId="77777777" w:rsidR="00846BDB" w:rsidRPr="003D09B6" w:rsidRDefault="00846BDB" w:rsidP="00274A27">
            <w:pPr>
              <w:jc w:val="both"/>
              <w:rPr>
                <w:rFonts w:cs="Arial"/>
                <w:b/>
                <w:bCs/>
                <w:color w:val="000000"/>
                <w:szCs w:val="20"/>
              </w:rPr>
            </w:pPr>
            <w:r w:rsidRPr="003D09B6">
              <w:rPr>
                <w:rFonts w:cs="Arial"/>
                <w:b/>
                <w:bCs/>
                <w:color w:val="000000"/>
                <w:szCs w:val="20"/>
              </w:rPr>
              <w:t>Detection Processes</w:t>
            </w:r>
            <w:r w:rsidRPr="003D09B6">
              <w:rPr>
                <w:rFonts w:cs="Arial"/>
                <w:color w:val="000000"/>
                <w:szCs w:val="20"/>
              </w:rPr>
              <w:t xml:space="preserve"> - Detection processes and procedures are maintained and tested to ensure timely and adequate awareness of anomalous events.</w:t>
            </w:r>
          </w:p>
        </w:tc>
      </w:tr>
      <w:tr w:rsidR="00846BDB" w:rsidRPr="003D09B6" w14:paraId="7219402A" w14:textId="77777777" w:rsidTr="0088130A">
        <w:trPr>
          <w:trHeight w:val="620"/>
        </w:trPr>
        <w:tc>
          <w:tcPr>
            <w:tcW w:w="1085" w:type="pct"/>
            <w:vMerge w:val="restart"/>
            <w:tcBorders>
              <w:top w:val="nil"/>
              <w:left w:val="single" w:sz="4" w:space="0" w:color="auto"/>
              <w:bottom w:val="single" w:sz="4" w:space="0" w:color="auto"/>
              <w:right w:val="single" w:sz="4" w:space="0" w:color="auto"/>
            </w:tcBorders>
            <w:shd w:val="clear" w:color="000000" w:fill="F2F2F2"/>
            <w:vAlign w:val="center"/>
            <w:hideMark/>
          </w:tcPr>
          <w:p w14:paraId="16988318" w14:textId="77777777" w:rsidR="00846BDB" w:rsidRPr="003D09B6" w:rsidRDefault="00846BDB" w:rsidP="00274A27">
            <w:pPr>
              <w:jc w:val="both"/>
              <w:rPr>
                <w:rFonts w:cs="Arial"/>
                <w:b/>
                <w:bCs/>
                <w:szCs w:val="20"/>
              </w:rPr>
            </w:pPr>
            <w:r w:rsidRPr="003D09B6">
              <w:rPr>
                <w:rFonts w:cs="Arial"/>
                <w:b/>
                <w:bCs/>
                <w:szCs w:val="20"/>
              </w:rPr>
              <w:t xml:space="preserve">RESPOND: appropriate activities to </w:t>
            </w:r>
            <w:proofErr w:type="gramStart"/>
            <w:r w:rsidRPr="003D09B6">
              <w:rPr>
                <w:rFonts w:cs="Arial"/>
                <w:b/>
                <w:bCs/>
                <w:szCs w:val="20"/>
              </w:rPr>
              <w:t>take action</w:t>
            </w:r>
            <w:proofErr w:type="gramEnd"/>
            <w:r w:rsidRPr="003D09B6">
              <w:rPr>
                <w:rFonts w:cs="Arial"/>
                <w:b/>
                <w:bCs/>
                <w:szCs w:val="20"/>
              </w:rPr>
              <w:t xml:space="preserve"> regarding a detected cybersecurity incident.</w:t>
            </w:r>
          </w:p>
        </w:tc>
        <w:tc>
          <w:tcPr>
            <w:tcW w:w="3915" w:type="pct"/>
            <w:tcBorders>
              <w:top w:val="nil"/>
              <w:left w:val="nil"/>
              <w:bottom w:val="single" w:sz="4" w:space="0" w:color="auto"/>
              <w:right w:val="single" w:sz="4" w:space="0" w:color="auto"/>
            </w:tcBorders>
            <w:shd w:val="clear" w:color="auto" w:fill="auto"/>
            <w:vAlign w:val="center"/>
            <w:hideMark/>
          </w:tcPr>
          <w:p w14:paraId="73E9F998" w14:textId="77777777" w:rsidR="00846BDB" w:rsidRPr="003D09B6" w:rsidRDefault="00846BDB" w:rsidP="00274A27">
            <w:pPr>
              <w:jc w:val="both"/>
              <w:rPr>
                <w:rFonts w:cs="Arial"/>
                <w:b/>
                <w:bCs/>
                <w:color w:val="000000"/>
                <w:szCs w:val="20"/>
              </w:rPr>
            </w:pPr>
            <w:r w:rsidRPr="003D09B6">
              <w:rPr>
                <w:rFonts w:cs="Arial"/>
                <w:b/>
                <w:bCs/>
                <w:color w:val="000000"/>
                <w:szCs w:val="20"/>
              </w:rPr>
              <w:t>Response Planning</w:t>
            </w:r>
            <w:r w:rsidRPr="003D09B6">
              <w:rPr>
                <w:rFonts w:cs="Arial"/>
                <w:color w:val="000000"/>
                <w:szCs w:val="20"/>
              </w:rPr>
              <w:t xml:space="preserve"> - Response processes and procedures are executed and maintained, to ensure timely response to detected cybersecurity events</w:t>
            </w:r>
          </w:p>
        </w:tc>
      </w:tr>
      <w:tr w:rsidR="00846BDB" w:rsidRPr="003D09B6" w14:paraId="3814BD9C" w14:textId="77777777" w:rsidTr="00F27A78">
        <w:trPr>
          <w:trHeight w:val="522"/>
        </w:trPr>
        <w:tc>
          <w:tcPr>
            <w:tcW w:w="1085" w:type="pct"/>
            <w:vMerge/>
            <w:tcBorders>
              <w:top w:val="nil"/>
              <w:left w:val="single" w:sz="4" w:space="0" w:color="auto"/>
              <w:bottom w:val="single" w:sz="4" w:space="0" w:color="auto"/>
              <w:right w:val="single" w:sz="4" w:space="0" w:color="auto"/>
            </w:tcBorders>
            <w:vAlign w:val="center"/>
            <w:hideMark/>
          </w:tcPr>
          <w:p w14:paraId="4DBF8684"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47984826" w14:textId="77777777" w:rsidR="00846BDB" w:rsidRPr="003D09B6" w:rsidRDefault="00846BDB" w:rsidP="00274A27">
            <w:pPr>
              <w:jc w:val="both"/>
              <w:rPr>
                <w:rFonts w:cs="Arial"/>
                <w:b/>
                <w:bCs/>
                <w:color w:val="000000"/>
                <w:szCs w:val="20"/>
              </w:rPr>
            </w:pPr>
            <w:r w:rsidRPr="003D09B6">
              <w:rPr>
                <w:rFonts w:cs="Arial"/>
                <w:b/>
                <w:bCs/>
                <w:color w:val="000000"/>
                <w:szCs w:val="20"/>
              </w:rPr>
              <w:t>Communications</w:t>
            </w:r>
            <w:r w:rsidRPr="003D09B6">
              <w:rPr>
                <w:rFonts w:cs="Arial"/>
                <w:color w:val="000000"/>
                <w:szCs w:val="20"/>
              </w:rPr>
              <w:t xml:space="preserve"> - Response activities are coordinated with internal and external stakeholders, as appropriate, to include external support from law enforcement agencies.</w:t>
            </w:r>
          </w:p>
        </w:tc>
      </w:tr>
      <w:tr w:rsidR="00846BDB" w:rsidRPr="003D09B6" w14:paraId="1E9250CB" w14:textId="77777777" w:rsidTr="00F27A78">
        <w:trPr>
          <w:trHeight w:val="298"/>
        </w:trPr>
        <w:tc>
          <w:tcPr>
            <w:tcW w:w="1085" w:type="pct"/>
            <w:vMerge/>
            <w:tcBorders>
              <w:top w:val="nil"/>
              <w:left w:val="single" w:sz="4" w:space="0" w:color="auto"/>
              <w:bottom w:val="single" w:sz="4" w:space="0" w:color="auto"/>
              <w:right w:val="single" w:sz="4" w:space="0" w:color="auto"/>
            </w:tcBorders>
            <w:vAlign w:val="center"/>
            <w:hideMark/>
          </w:tcPr>
          <w:p w14:paraId="0EBAE16B"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32666DE2" w14:textId="77777777" w:rsidR="00846BDB" w:rsidRPr="003D09B6" w:rsidRDefault="00846BDB" w:rsidP="00274A27">
            <w:pPr>
              <w:jc w:val="both"/>
              <w:rPr>
                <w:rFonts w:cs="Arial"/>
                <w:b/>
                <w:bCs/>
                <w:color w:val="000000"/>
                <w:szCs w:val="20"/>
              </w:rPr>
            </w:pPr>
            <w:r w:rsidRPr="003D09B6">
              <w:rPr>
                <w:rFonts w:cs="Arial"/>
                <w:b/>
                <w:bCs/>
                <w:color w:val="000000"/>
                <w:szCs w:val="20"/>
              </w:rPr>
              <w:t>Analysis</w:t>
            </w:r>
            <w:r w:rsidRPr="003D09B6">
              <w:rPr>
                <w:rFonts w:cs="Arial"/>
                <w:color w:val="000000"/>
                <w:szCs w:val="20"/>
              </w:rPr>
              <w:t xml:space="preserve"> - Analysis is conducted to ensure adequate response and support recovery activities.</w:t>
            </w:r>
          </w:p>
        </w:tc>
      </w:tr>
      <w:tr w:rsidR="00846BDB" w:rsidRPr="003D09B6" w14:paraId="3A4F77FA" w14:textId="77777777" w:rsidTr="0088130A">
        <w:trPr>
          <w:trHeight w:val="602"/>
        </w:trPr>
        <w:tc>
          <w:tcPr>
            <w:tcW w:w="1085" w:type="pct"/>
            <w:vMerge/>
            <w:tcBorders>
              <w:top w:val="nil"/>
              <w:left w:val="single" w:sz="4" w:space="0" w:color="auto"/>
              <w:bottom w:val="single" w:sz="4" w:space="0" w:color="auto"/>
              <w:right w:val="single" w:sz="4" w:space="0" w:color="auto"/>
            </w:tcBorders>
            <w:vAlign w:val="center"/>
            <w:hideMark/>
          </w:tcPr>
          <w:p w14:paraId="6E323F7B"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18BA3351" w14:textId="77777777" w:rsidR="00846BDB" w:rsidRPr="003D09B6" w:rsidRDefault="00846BDB" w:rsidP="00274A27">
            <w:pPr>
              <w:jc w:val="both"/>
              <w:rPr>
                <w:rFonts w:cs="Arial"/>
                <w:b/>
                <w:bCs/>
                <w:color w:val="000000"/>
                <w:szCs w:val="20"/>
              </w:rPr>
            </w:pPr>
            <w:r w:rsidRPr="003D09B6">
              <w:rPr>
                <w:rFonts w:cs="Arial"/>
                <w:b/>
                <w:bCs/>
                <w:color w:val="000000"/>
                <w:szCs w:val="20"/>
              </w:rPr>
              <w:t>Mitigation</w:t>
            </w:r>
            <w:r w:rsidRPr="003D09B6">
              <w:rPr>
                <w:rFonts w:cs="Arial"/>
                <w:color w:val="000000"/>
                <w:szCs w:val="20"/>
              </w:rPr>
              <w:t xml:space="preserve"> - Activities are performed to prevent expansion of an event, mitigate its effects, and eradicate the incident.</w:t>
            </w:r>
          </w:p>
        </w:tc>
      </w:tr>
      <w:tr w:rsidR="00846BDB" w:rsidRPr="003D09B6" w14:paraId="30388FAD" w14:textId="77777777" w:rsidTr="0088130A">
        <w:trPr>
          <w:trHeight w:val="638"/>
        </w:trPr>
        <w:tc>
          <w:tcPr>
            <w:tcW w:w="1085" w:type="pct"/>
            <w:vMerge/>
            <w:tcBorders>
              <w:top w:val="nil"/>
              <w:left w:val="single" w:sz="4" w:space="0" w:color="auto"/>
              <w:bottom w:val="single" w:sz="4" w:space="0" w:color="auto"/>
              <w:right w:val="single" w:sz="4" w:space="0" w:color="auto"/>
            </w:tcBorders>
            <w:vAlign w:val="center"/>
            <w:hideMark/>
          </w:tcPr>
          <w:p w14:paraId="15BA8B96"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3089C432" w14:textId="77777777" w:rsidR="00846BDB" w:rsidRPr="003D09B6" w:rsidRDefault="00846BDB" w:rsidP="00274A27">
            <w:pPr>
              <w:jc w:val="both"/>
              <w:rPr>
                <w:rFonts w:cs="Arial"/>
                <w:b/>
                <w:bCs/>
                <w:color w:val="000000"/>
                <w:szCs w:val="20"/>
              </w:rPr>
            </w:pPr>
            <w:r w:rsidRPr="003D09B6">
              <w:rPr>
                <w:rFonts w:cs="Arial"/>
                <w:b/>
                <w:bCs/>
                <w:color w:val="000000"/>
                <w:szCs w:val="20"/>
              </w:rPr>
              <w:t>Improvements</w:t>
            </w:r>
            <w:r w:rsidRPr="003D09B6">
              <w:rPr>
                <w:rFonts w:cs="Arial"/>
                <w:color w:val="000000"/>
                <w:szCs w:val="20"/>
              </w:rPr>
              <w:t xml:space="preserve"> - Organizational response activities are improved by incorporating lessons learned from current and previous detection/response activities.</w:t>
            </w:r>
          </w:p>
        </w:tc>
      </w:tr>
      <w:tr w:rsidR="00846BDB" w:rsidRPr="003D09B6" w14:paraId="0717198F" w14:textId="77777777" w:rsidTr="00274A27">
        <w:trPr>
          <w:trHeight w:val="522"/>
        </w:trPr>
        <w:tc>
          <w:tcPr>
            <w:tcW w:w="1085" w:type="pct"/>
            <w:vMerge w:val="restart"/>
            <w:tcBorders>
              <w:top w:val="nil"/>
              <w:left w:val="single" w:sz="4" w:space="0" w:color="auto"/>
              <w:bottom w:val="single" w:sz="4" w:space="0" w:color="auto"/>
              <w:right w:val="single" w:sz="4" w:space="0" w:color="auto"/>
            </w:tcBorders>
            <w:shd w:val="clear" w:color="000000" w:fill="F2F2F2"/>
            <w:vAlign w:val="center"/>
            <w:hideMark/>
          </w:tcPr>
          <w:p w14:paraId="04ECADB4" w14:textId="77777777" w:rsidR="00846BDB" w:rsidRPr="003D09B6" w:rsidRDefault="00846BDB" w:rsidP="00274A27">
            <w:pPr>
              <w:jc w:val="both"/>
              <w:rPr>
                <w:rFonts w:cs="Arial"/>
                <w:b/>
                <w:bCs/>
                <w:szCs w:val="20"/>
              </w:rPr>
            </w:pPr>
            <w:r w:rsidRPr="003D09B6">
              <w:rPr>
                <w:rFonts w:cs="Arial"/>
                <w:b/>
                <w:bCs/>
                <w:szCs w:val="20"/>
              </w:rPr>
              <w:t xml:space="preserve">RECOVER: appropriate activities to maintain plans for resilience and to restore any capabilities or services that were impaired due to a cybersecurity incident. </w:t>
            </w:r>
          </w:p>
        </w:tc>
        <w:tc>
          <w:tcPr>
            <w:tcW w:w="3915" w:type="pct"/>
            <w:tcBorders>
              <w:top w:val="nil"/>
              <w:left w:val="nil"/>
              <w:bottom w:val="single" w:sz="4" w:space="0" w:color="auto"/>
              <w:right w:val="single" w:sz="4" w:space="0" w:color="auto"/>
            </w:tcBorders>
            <w:shd w:val="clear" w:color="auto" w:fill="auto"/>
            <w:vAlign w:val="center"/>
            <w:hideMark/>
          </w:tcPr>
          <w:p w14:paraId="06D07B4E" w14:textId="77777777" w:rsidR="00846BDB" w:rsidRPr="003D09B6" w:rsidRDefault="00846BDB" w:rsidP="00274A27">
            <w:pPr>
              <w:jc w:val="both"/>
              <w:rPr>
                <w:rFonts w:cs="Arial"/>
                <w:b/>
                <w:bCs/>
                <w:color w:val="000000"/>
                <w:szCs w:val="20"/>
              </w:rPr>
            </w:pPr>
            <w:r w:rsidRPr="003D09B6">
              <w:rPr>
                <w:rFonts w:cs="Arial"/>
                <w:b/>
                <w:bCs/>
                <w:color w:val="000000"/>
                <w:szCs w:val="20"/>
              </w:rPr>
              <w:t>Recovery Planning</w:t>
            </w:r>
            <w:r w:rsidRPr="003D09B6">
              <w:rPr>
                <w:rFonts w:cs="Arial"/>
                <w:color w:val="000000"/>
                <w:szCs w:val="20"/>
              </w:rPr>
              <w:t xml:space="preserve"> - Recovery processes and procedures are executed and maintained to ensure restoration of systems or assets affected by cybersecurity incidents</w:t>
            </w:r>
          </w:p>
        </w:tc>
      </w:tr>
      <w:tr w:rsidR="00846BDB" w:rsidRPr="003D09B6" w14:paraId="6A974BE9" w14:textId="77777777" w:rsidTr="00F27A78">
        <w:trPr>
          <w:trHeight w:val="807"/>
        </w:trPr>
        <w:tc>
          <w:tcPr>
            <w:tcW w:w="1085" w:type="pct"/>
            <w:vMerge/>
            <w:tcBorders>
              <w:top w:val="nil"/>
              <w:left w:val="single" w:sz="4" w:space="0" w:color="auto"/>
              <w:bottom w:val="single" w:sz="4" w:space="0" w:color="auto"/>
              <w:right w:val="single" w:sz="4" w:space="0" w:color="auto"/>
            </w:tcBorders>
            <w:vAlign w:val="center"/>
            <w:hideMark/>
          </w:tcPr>
          <w:p w14:paraId="1C3C3B99"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4DC71C58" w14:textId="77777777" w:rsidR="00846BDB" w:rsidRPr="003D09B6" w:rsidRDefault="00846BDB" w:rsidP="00274A27">
            <w:pPr>
              <w:jc w:val="both"/>
              <w:rPr>
                <w:rFonts w:cs="Arial"/>
                <w:b/>
                <w:bCs/>
                <w:color w:val="000000"/>
                <w:szCs w:val="20"/>
              </w:rPr>
            </w:pPr>
            <w:r w:rsidRPr="003D09B6">
              <w:rPr>
                <w:rFonts w:cs="Arial"/>
                <w:b/>
                <w:bCs/>
                <w:color w:val="000000"/>
                <w:szCs w:val="20"/>
              </w:rPr>
              <w:t>Improvements</w:t>
            </w:r>
            <w:r w:rsidRPr="003D09B6">
              <w:rPr>
                <w:rFonts w:cs="Arial"/>
                <w:color w:val="000000"/>
                <w:szCs w:val="20"/>
              </w:rPr>
              <w:t xml:space="preserve"> - Recovery planning and processes are improved by incorporating lessons learned into future activities.</w:t>
            </w:r>
          </w:p>
        </w:tc>
      </w:tr>
      <w:tr w:rsidR="00846BDB" w:rsidRPr="003D09B6" w14:paraId="67B86C75" w14:textId="77777777" w:rsidTr="00F27A78">
        <w:trPr>
          <w:trHeight w:val="522"/>
        </w:trPr>
        <w:tc>
          <w:tcPr>
            <w:tcW w:w="1085" w:type="pct"/>
            <w:vMerge/>
            <w:tcBorders>
              <w:top w:val="nil"/>
              <w:left w:val="single" w:sz="4" w:space="0" w:color="auto"/>
              <w:bottom w:val="single" w:sz="4" w:space="0" w:color="auto"/>
              <w:right w:val="single" w:sz="4" w:space="0" w:color="auto"/>
            </w:tcBorders>
            <w:vAlign w:val="center"/>
            <w:hideMark/>
          </w:tcPr>
          <w:p w14:paraId="494811B8" w14:textId="77777777" w:rsidR="00846BDB" w:rsidRPr="003D09B6" w:rsidRDefault="00846BDB" w:rsidP="00274A27">
            <w:pPr>
              <w:jc w:val="both"/>
              <w:rPr>
                <w:rFonts w:cs="Arial"/>
                <w:b/>
                <w:bCs/>
                <w:szCs w:val="20"/>
              </w:rPr>
            </w:pPr>
          </w:p>
        </w:tc>
        <w:tc>
          <w:tcPr>
            <w:tcW w:w="3915" w:type="pct"/>
            <w:tcBorders>
              <w:top w:val="nil"/>
              <w:left w:val="nil"/>
              <w:bottom w:val="single" w:sz="4" w:space="0" w:color="auto"/>
              <w:right w:val="single" w:sz="4" w:space="0" w:color="auto"/>
            </w:tcBorders>
            <w:shd w:val="clear" w:color="auto" w:fill="auto"/>
            <w:vAlign w:val="center"/>
            <w:hideMark/>
          </w:tcPr>
          <w:p w14:paraId="6CDCA525" w14:textId="77777777" w:rsidR="00846BDB" w:rsidRPr="003D09B6" w:rsidRDefault="00846BDB" w:rsidP="00274A27">
            <w:pPr>
              <w:jc w:val="both"/>
              <w:rPr>
                <w:rFonts w:cs="Arial"/>
                <w:b/>
                <w:bCs/>
                <w:color w:val="000000"/>
                <w:szCs w:val="20"/>
              </w:rPr>
            </w:pPr>
            <w:r w:rsidRPr="003D09B6">
              <w:rPr>
                <w:rFonts w:cs="Arial"/>
                <w:b/>
                <w:bCs/>
                <w:color w:val="000000"/>
                <w:szCs w:val="20"/>
              </w:rPr>
              <w:t>Communications</w:t>
            </w:r>
            <w:r w:rsidRPr="003D09B6">
              <w:rPr>
                <w:rFonts w:cs="Arial"/>
                <w:color w:val="000000"/>
                <w:szCs w:val="20"/>
              </w:rPr>
              <w:t xml:space="preserve"> - Restoration activities are coordinated with internal and external parties (e.g. coordinating centers, Internet Service Providers, owners of attacking systems, victims, other CSIRTs, and vendors).</w:t>
            </w:r>
          </w:p>
        </w:tc>
      </w:tr>
    </w:tbl>
    <w:p w14:paraId="3221E91B" w14:textId="77777777" w:rsidR="00BB0087" w:rsidRPr="00C93B5A" w:rsidRDefault="00BB0087" w:rsidP="00274A27">
      <w:pPr>
        <w:spacing w:line="276" w:lineRule="auto"/>
        <w:jc w:val="both"/>
        <w:rPr>
          <w:rFonts w:cs="Arial"/>
          <w:b/>
          <w:sz w:val="28"/>
          <w:szCs w:val="28"/>
        </w:rPr>
      </w:pPr>
    </w:p>
    <w:p w14:paraId="516ECBB2" w14:textId="24815C22" w:rsidR="00B24408" w:rsidRDefault="00846BDB" w:rsidP="00274A27">
      <w:pPr>
        <w:spacing w:line="276" w:lineRule="auto"/>
        <w:jc w:val="both"/>
      </w:pPr>
      <w:r w:rsidRPr="00AB2345">
        <w:t>More detailed scope will be provided to tender applicants through Email</w:t>
      </w:r>
    </w:p>
    <w:p w14:paraId="11B85D12" w14:textId="77777777" w:rsidR="00846BDB" w:rsidRDefault="00846BDB" w:rsidP="00274A27">
      <w:pPr>
        <w:spacing w:line="276" w:lineRule="auto"/>
        <w:jc w:val="both"/>
        <w:rPr>
          <w:rFonts w:cs="Arial"/>
          <w:color w:val="333333"/>
        </w:rPr>
      </w:pPr>
    </w:p>
    <w:p w14:paraId="796B4D19" w14:textId="1259B771" w:rsidR="003D09B6" w:rsidRPr="0088130A" w:rsidRDefault="0088130A" w:rsidP="00274A27">
      <w:pPr>
        <w:spacing w:line="480" w:lineRule="auto"/>
        <w:jc w:val="both"/>
        <w:rPr>
          <w:rFonts w:ascii="Sylfaen" w:hAnsi="Sylfaen"/>
          <w:b/>
          <w:bCs/>
          <w:sz w:val="28"/>
          <w:szCs w:val="36"/>
        </w:rPr>
      </w:pPr>
      <w:r>
        <w:rPr>
          <w:b/>
          <w:bCs/>
          <w:sz w:val="28"/>
          <w:szCs w:val="36"/>
        </w:rPr>
        <w:t>DELIVERABLES</w:t>
      </w:r>
    </w:p>
    <w:p w14:paraId="7CACB4FD" w14:textId="39DBBB16" w:rsidR="003D09B6" w:rsidRDefault="003D09B6" w:rsidP="0088130A">
      <w:pPr>
        <w:spacing w:line="276" w:lineRule="auto"/>
        <w:jc w:val="both"/>
      </w:pPr>
      <w:r>
        <w:t xml:space="preserve">Cybersecurity Audit report should be in English and in Georgian languages. The report must include, but not limited to: </w:t>
      </w:r>
    </w:p>
    <w:p w14:paraId="3DA50B64" w14:textId="77777777" w:rsidR="0088130A" w:rsidRPr="003D09B6" w:rsidRDefault="0088130A" w:rsidP="0088130A">
      <w:pPr>
        <w:spacing w:line="276" w:lineRule="auto"/>
        <w:jc w:val="both"/>
        <w:rPr>
          <w:b/>
          <w:bCs/>
          <w:lang w:val="ka-GE"/>
        </w:rPr>
      </w:pPr>
    </w:p>
    <w:p w14:paraId="08A83C5C" w14:textId="77777777" w:rsidR="003D09B6" w:rsidRDefault="003D09B6" w:rsidP="0088130A">
      <w:pPr>
        <w:pStyle w:val="ListParagraph"/>
        <w:numPr>
          <w:ilvl w:val="0"/>
          <w:numId w:val="23"/>
        </w:numPr>
        <w:spacing w:after="160" w:line="276" w:lineRule="auto"/>
        <w:jc w:val="both"/>
      </w:pPr>
      <w:r>
        <w:t>Executive Summary</w:t>
      </w:r>
    </w:p>
    <w:p w14:paraId="39203F02" w14:textId="77777777" w:rsidR="003D09B6" w:rsidRDefault="003D09B6" w:rsidP="0088130A">
      <w:pPr>
        <w:pStyle w:val="ListParagraph"/>
        <w:numPr>
          <w:ilvl w:val="0"/>
          <w:numId w:val="23"/>
        </w:numPr>
        <w:spacing w:after="160" w:line="276" w:lineRule="auto"/>
        <w:jc w:val="both"/>
      </w:pPr>
      <w:r>
        <w:t>Findings</w:t>
      </w:r>
    </w:p>
    <w:p w14:paraId="251E024D" w14:textId="77777777" w:rsidR="003D09B6" w:rsidRDefault="003D09B6" w:rsidP="0088130A">
      <w:pPr>
        <w:pStyle w:val="ListParagraph"/>
        <w:numPr>
          <w:ilvl w:val="0"/>
          <w:numId w:val="23"/>
        </w:numPr>
        <w:spacing w:after="160" w:line="276" w:lineRule="auto"/>
        <w:jc w:val="both"/>
      </w:pPr>
      <w:r>
        <w:t>Risks analysis</w:t>
      </w:r>
    </w:p>
    <w:p w14:paraId="0B4AFDE5" w14:textId="77777777" w:rsidR="003D09B6" w:rsidRDefault="003D09B6" w:rsidP="0088130A">
      <w:pPr>
        <w:pStyle w:val="ListParagraph"/>
        <w:numPr>
          <w:ilvl w:val="0"/>
          <w:numId w:val="23"/>
        </w:numPr>
        <w:spacing w:after="160" w:line="276" w:lineRule="auto"/>
        <w:jc w:val="both"/>
      </w:pPr>
      <w:r>
        <w:t>Recommendations</w:t>
      </w:r>
    </w:p>
    <w:p w14:paraId="56FAFD53" w14:textId="77777777" w:rsidR="003D09B6" w:rsidRDefault="003D09B6" w:rsidP="0088130A">
      <w:pPr>
        <w:pStyle w:val="ListParagraph"/>
        <w:numPr>
          <w:ilvl w:val="0"/>
          <w:numId w:val="23"/>
        </w:numPr>
        <w:spacing w:after="160" w:line="276" w:lineRule="auto"/>
        <w:jc w:val="both"/>
      </w:pPr>
      <w:r w:rsidRPr="00386C07">
        <w:t>Description of the methodology used</w:t>
      </w:r>
    </w:p>
    <w:p w14:paraId="75D54FC3" w14:textId="77777777" w:rsidR="003D09B6" w:rsidRDefault="003D09B6" w:rsidP="0088130A">
      <w:pPr>
        <w:pStyle w:val="ListParagraph"/>
        <w:numPr>
          <w:ilvl w:val="0"/>
          <w:numId w:val="23"/>
        </w:numPr>
        <w:spacing w:after="160" w:line="276" w:lineRule="auto"/>
        <w:jc w:val="both"/>
      </w:pPr>
      <w:r w:rsidRPr="006649DC">
        <w:t>Detailed description of the work done</w:t>
      </w:r>
    </w:p>
    <w:p w14:paraId="1361DA4A" w14:textId="69F658FD" w:rsidR="003D09B6" w:rsidRDefault="003D09B6" w:rsidP="0088130A">
      <w:pPr>
        <w:spacing w:line="276" w:lineRule="auto"/>
        <w:jc w:val="both"/>
      </w:pPr>
      <w:r w:rsidRPr="004F0859">
        <w:t xml:space="preserve">The </w:t>
      </w:r>
      <w:r>
        <w:t>company</w:t>
      </w:r>
      <w:r w:rsidRPr="004F0859">
        <w:t xml:space="preserve"> must also make a presentation to the </w:t>
      </w:r>
      <w:r>
        <w:t xml:space="preserve">FINCA Bank Georgia </w:t>
      </w:r>
      <w:r w:rsidRPr="004F0859">
        <w:t>about the identified deficiencies</w:t>
      </w:r>
      <w:r>
        <w:t>, risks and recommendations</w:t>
      </w:r>
      <w:r w:rsidRPr="004F0859">
        <w:t xml:space="preserve"> at the head office of </w:t>
      </w:r>
      <w:r>
        <w:t xml:space="preserve">the </w:t>
      </w:r>
      <w:r w:rsidRPr="004F0859">
        <w:t>Bank.</w:t>
      </w:r>
    </w:p>
    <w:p w14:paraId="7B0D6510" w14:textId="6CEC5A74" w:rsidR="00906842" w:rsidRDefault="00906842" w:rsidP="00274A27">
      <w:pPr>
        <w:suppressAutoHyphens/>
        <w:spacing w:line="360" w:lineRule="auto"/>
        <w:jc w:val="both"/>
        <w:rPr>
          <w:rFonts w:cs="Arial"/>
        </w:rPr>
      </w:pPr>
    </w:p>
    <w:p w14:paraId="4256F8A8" w14:textId="7817D37A" w:rsidR="003D09B6" w:rsidRPr="0088130A" w:rsidRDefault="0088130A" w:rsidP="00274A27">
      <w:pPr>
        <w:suppressAutoHyphens/>
        <w:spacing w:line="360" w:lineRule="auto"/>
        <w:jc w:val="both"/>
        <w:rPr>
          <w:rFonts w:ascii="Sylfaen" w:hAnsi="Sylfaen"/>
          <w:b/>
          <w:bCs/>
          <w:sz w:val="28"/>
          <w:szCs w:val="36"/>
          <w:lang w:val="ka-GE"/>
        </w:rPr>
      </w:pPr>
      <w:r w:rsidRPr="0088130A">
        <w:rPr>
          <w:rFonts w:cs="Arial"/>
          <w:b/>
          <w:bCs/>
          <w:sz w:val="28"/>
          <w:szCs w:val="36"/>
        </w:rPr>
        <w:t>TIMING</w:t>
      </w:r>
    </w:p>
    <w:p w14:paraId="4803A96D" w14:textId="56F0DB77" w:rsidR="003D09B6" w:rsidRPr="003A16DC" w:rsidRDefault="003D09B6" w:rsidP="0088130A">
      <w:pPr>
        <w:suppressAutoHyphens/>
        <w:spacing w:line="276" w:lineRule="auto"/>
        <w:jc w:val="both"/>
        <w:rPr>
          <w:rFonts w:ascii="Sylfaen" w:hAnsi="Sylfaen" w:cs="Arial"/>
          <w:lang w:val="ka-GE"/>
        </w:rPr>
      </w:pPr>
      <w:r w:rsidRPr="003A16DC">
        <w:rPr>
          <w:rFonts w:cs="Arial"/>
          <w:lang w:val="ka-GE"/>
        </w:rPr>
        <w:t xml:space="preserve">Audit should be conducted </w:t>
      </w:r>
      <w:r w:rsidRPr="00E622A0">
        <w:rPr>
          <w:rFonts w:cs="Arial"/>
        </w:rPr>
        <w:t xml:space="preserve">approximately </w:t>
      </w:r>
      <w:r w:rsidRPr="00E622A0">
        <w:rPr>
          <w:rFonts w:cs="Arial"/>
          <w:lang w:val="ka-GE"/>
        </w:rPr>
        <w:t>within 3</w:t>
      </w:r>
      <w:r w:rsidR="00D869C7" w:rsidRPr="00E622A0">
        <w:rPr>
          <w:rFonts w:cs="Arial"/>
          <w:lang w:val="ka-GE"/>
        </w:rPr>
        <w:t>-4</w:t>
      </w:r>
      <w:r w:rsidRPr="003A16DC">
        <w:rPr>
          <w:rFonts w:cs="Arial"/>
          <w:lang w:val="ka-GE"/>
        </w:rPr>
        <w:t xml:space="preserve"> weeks, </w:t>
      </w:r>
      <w:r w:rsidR="001C0089" w:rsidRPr="00E622A0">
        <w:rPr>
          <w:rFonts w:cs="Arial"/>
        </w:rPr>
        <w:t xml:space="preserve">Final report should be prepared no later 25 Dec 2020. </w:t>
      </w:r>
    </w:p>
    <w:p w14:paraId="566468F1" w14:textId="77777777" w:rsidR="003D09B6" w:rsidRDefault="003D09B6" w:rsidP="00274A27">
      <w:pPr>
        <w:spacing w:line="276" w:lineRule="auto"/>
        <w:jc w:val="both"/>
        <w:rPr>
          <w:rFonts w:ascii="Sylfaen" w:hAnsi="Sylfaen" w:cs="Arial"/>
          <w:lang w:val="ka-GE"/>
        </w:rPr>
      </w:pPr>
      <w:bookmarkStart w:id="0" w:name="_Toc186004225"/>
      <w:bookmarkStart w:id="1" w:name="_Toc186033418"/>
      <w:bookmarkStart w:id="2" w:name="_Toc186004226"/>
      <w:bookmarkStart w:id="3" w:name="_Toc186033419"/>
      <w:bookmarkStart w:id="4" w:name="_Toc186004227"/>
      <w:bookmarkStart w:id="5" w:name="_Toc186033420"/>
      <w:bookmarkStart w:id="6" w:name="_Toc186004228"/>
      <w:bookmarkStart w:id="7" w:name="_Toc186033421"/>
      <w:bookmarkStart w:id="8" w:name="_Toc186004229"/>
      <w:bookmarkStart w:id="9" w:name="_Toc186033422"/>
      <w:bookmarkStart w:id="10" w:name="_Toc186004230"/>
      <w:bookmarkStart w:id="11" w:name="_Toc186033423"/>
      <w:bookmarkStart w:id="12" w:name="_Toc178995038"/>
      <w:bookmarkStart w:id="13" w:name="_Toc186004006"/>
      <w:bookmarkStart w:id="14" w:name="_Toc186004231"/>
      <w:bookmarkStart w:id="15" w:name="_Toc186033424"/>
      <w:bookmarkStart w:id="16" w:name="_Toc178995039"/>
      <w:bookmarkStart w:id="17" w:name="_Toc186004007"/>
      <w:bookmarkStart w:id="18" w:name="_Toc186004232"/>
      <w:bookmarkStart w:id="19" w:name="_Toc186033425"/>
      <w:bookmarkStart w:id="20" w:name="_Toc178995040"/>
      <w:bookmarkStart w:id="21" w:name="_Toc186004008"/>
      <w:bookmarkStart w:id="22" w:name="_Toc186004233"/>
      <w:bookmarkStart w:id="23" w:name="_Toc186033426"/>
      <w:bookmarkStart w:id="24" w:name="_Toc178995041"/>
      <w:bookmarkStart w:id="25" w:name="_Toc186004009"/>
      <w:bookmarkStart w:id="26" w:name="_Toc186004234"/>
      <w:bookmarkStart w:id="27" w:name="_Toc186033427"/>
      <w:bookmarkStart w:id="28" w:name="_Toc178995042"/>
      <w:bookmarkStart w:id="29" w:name="_Toc186004010"/>
      <w:bookmarkStart w:id="30" w:name="_Toc186004235"/>
      <w:bookmarkStart w:id="31" w:name="_Toc186033428"/>
      <w:bookmarkStart w:id="32" w:name="_Toc178995043"/>
      <w:bookmarkStart w:id="33" w:name="_Toc186004011"/>
      <w:bookmarkStart w:id="34" w:name="_Toc186004236"/>
      <w:bookmarkStart w:id="35" w:name="_Toc186033429"/>
      <w:bookmarkStart w:id="36" w:name="_Toc178995044"/>
      <w:bookmarkStart w:id="37" w:name="_Toc186004012"/>
      <w:bookmarkStart w:id="38" w:name="_Toc186004237"/>
      <w:bookmarkStart w:id="39" w:name="_Toc186033430"/>
      <w:bookmarkStart w:id="40" w:name="_Toc178995045"/>
      <w:bookmarkStart w:id="41" w:name="_Toc186004013"/>
      <w:bookmarkStart w:id="42" w:name="_Toc186004238"/>
      <w:bookmarkStart w:id="43" w:name="_Toc186033431"/>
      <w:bookmarkStart w:id="44" w:name="_Toc178995046"/>
      <w:bookmarkStart w:id="45" w:name="_Toc186004014"/>
      <w:bookmarkStart w:id="46" w:name="_Toc186004239"/>
      <w:bookmarkStart w:id="47" w:name="_Toc186033432"/>
      <w:bookmarkStart w:id="48" w:name="_Toc178995047"/>
      <w:bookmarkStart w:id="49" w:name="_Toc186004015"/>
      <w:bookmarkStart w:id="50" w:name="_Toc186004240"/>
      <w:bookmarkStart w:id="51" w:name="_Toc186033433"/>
      <w:bookmarkStart w:id="52" w:name="_Toc178995048"/>
      <w:bookmarkStart w:id="53" w:name="_Toc186004016"/>
      <w:bookmarkStart w:id="54" w:name="_Toc186004241"/>
      <w:bookmarkStart w:id="55" w:name="_Toc186033434"/>
      <w:bookmarkStart w:id="56" w:name="_Toc178995049"/>
      <w:bookmarkStart w:id="57" w:name="_Toc186004017"/>
      <w:bookmarkStart w:id="58" w:name="_Toc186004242"/>
      <w:bookmarkStart w:id="59" w:name="_Toc186033435"/>
      <w:bookmarkStart w:id="60" w:name="_Toc178995050"/>
      <w:bookmarkStart w:id="61" w:name="_Toc186004018"/>
      <w:bookmarkStart w:id="62" w:name="_Toc186004243"/>
      <w:bookmarkStart w:id="63" w:name="_Toc186033436"/>
      <w:bookmarkStart w:id="64" w:name="_Toc178995051"/>
      <w:bookmarkStart w:id="65" w:name="_Toc186004019"/>
      <w:bookmarkStart w:id="66" w:name="_Toc186004244"/>
      <w:bookmarkStart w:id="67" w:name="_Toc186033437"/>
      <w:bookmarkStart w:id="68" w:name="_Toc178995052"/>
      <w:bookmarkStart w:id="69" w:name="_Toc186004020"/>
      <w:bookmarkStart w:id="70" w:name="_Toc186004245"/>
      <w:bookmarkStart w:id="71" w:name="_Toc186033438"/>
      <w:bookmarkStart w:id="72" w:name="_Toc178995053"/>
      <w:bookmarkStart w:id="73" w:name="_Toc186004021"/>
      <w:bookmarkStart w:id="74" w:name="_Toc186004246"/>
      <w:bookmarkStart w:id="75" w:name="_Toc186033439"/>
      <w:bookmarkStart w:id="76" w:name="_Toc178995054"/>
      <w:bookmarkStart w:id="77" w:name="_Toc186004022"/>
      <w:bookmarkStart w:id="78" w:name="_Toc186004247"/>
      <w:bookmarkStart w:id="79" w:name="_Toc186033440"/>
      <w:bookmarkStart w:id="80" w:name="_Toc178995055"/>
      <w:bookmarkStart w:id="81" w:name="_Toc186004023"/>
      <w:bookmarkStart w:id="82" w:name="_Toc186004248"/>
      <w:bookmarkStart w:id="83" w:name="_Toc186033441"/>
      <w:bookmarkStart w:id="84" w:name="_Toc178995056"/>
      <w:bookmarkStart w:id="85" w:name="_Toc186004024"/>
      <w:bookmarkStart w:id="86" w:name="_Toc186004249"/>
      <w:bookmarkStart w:id="87" w:name="_Toc186033442"/>
      <w:bookmarkStart w:id="88" w:name="_Toc178995057"/>
      <w:bookmarkStart w:id="89" w:name="_Toc186004025"/>
      <w:bookmarkStart w:id="90" w:name="_Toc186004250"/>
      <w:bookmarkStart w:id="91" w:name="_Toc186033443"/>
      <w:bookmarkStart w:id="92" w:name="_Toc178995058"/>
      <w:bookmarkStart w:id="93" w:name="_Toc186004026"/>
      <w:bookmarkStart w:id="94" w:name="_Toc186004251"/>
      <w:bookmarkStart w:id="95" w:name="_Toc186033444"/>
      <w:bookmarkStart w:id="96" w:name="_Toc178995059"/>
      <w:bookmarkStart w:id="97" w:name="_Toc186004027"/>
      <w:bookmarkStart w:id="98" w:name="_Toc186004252"/>
      <w:bookmarkStart w:id="99" w:name="_Toc186033445"/>
      <w:bookmarkStart w:id="100" w:name="_Toc178995060"/>
      <w:bookmarkStart w:id="101" w:name="_Toc186004028"/>
      <w:bookmarkStart w:id="102" w:name="_Toc186004253"/>
      <w:bookmarkStart w:id="103" w:name="_Toc186033446"/>
      <w:bookmarkStart w:id="104" w:name="_Toc178995061"/>
      <w:bookmarkStart w:id="105" w:name="_Toc186004029"/>
      <w:bookmarkStart w:id="106" w:name="_Toc186004254"/>
      <w:bookmarkStart w:id="107" w:name="_Toc186033447"/>
      <w:bookmarkStart w:id="108" w:name="_Toc178995062"/>
      <w:bookmarkStart w:id="109" w:name="_Toc186004030"/>
      <w:bookmarkStart w:id="110" w:name="_Toc186004255"/>
      <w:bookmarkStart w:id="111" w:name="_Toc186033448"/>
      <w:bookmarkStart w:id="112" w:name="_Toc178995063"/>
      <w:bookmarkStart w:id="113" w:name="_Toc186004031"/>
      <w:bookmarkStart w:id="114" w:name="_Toc186004256"/>
      <w:bookmarkStart w:id="115" w:name="_Toc186033449"/>
      <w:bookmarkStart w:id="116" w:name="_Toc178995064"/>
      <w:bookmarkStart w:id="117" w:name="_Toc186004032"/>
      <w:bookmarkStart w:id="118" w:name="_Toc186004257"/>
      <w:bookmarkStart w:id="119" w:name="_Toc186033450"/>
      <w:bookmarkStart w:id="120" w:name="_Toc178995065"/>
      <w:bookmarkStart w:id="121" w:name="_Toc186004033"/>
      <w:bookmarkStart w:id="122" w:name="_Toc186004258"/>
      <w:bookmarkStart w:id="123" w:name="_Toc186033451"/>
      <w:bookmarkStart w:id="124" w:name="_Toc178995066"/>
      <w:bookmarkStart w:id="125" w:name="_Toc186004034"/>
      <w:bookmarkStart w:id="126" w:name="_Toc186004259"/>
      <w:bookmarkStart w:id="127" w:name="_Toc186033452"/>
      <w:bookmarkStart w:id="128" w:name="_Toc178995067"/>
      <w:bookmarkStart w:id="129" w:name="_Toc186004035"/>
      <w:bookmarkStart w:id="130" w:name="_Toc186004260"/>
      <w:bookmarkStart w:id="131" w:name="_Toc186033453"/>
      <w:bookmarkStart w:id="132" w:name="_Toc178995068"/>
      <w:bookmarkStart w:id="133" w:name="_Toc186004036"/>
      <w:bookmarkStart w:id="134" w:name="_Toc186004261"/>
      <w:bookmarkStart w:id="135" w:name="_Toc186033454"/>
      <w:bookmarkStart w:id="136" w:name="_Toc178995069"/>
      <w:bookmarkStart w:id="137" w:name="_Toc186004037"/>
      <w:bookmarkStart w:id="138" w:name="_Toc186004262"/>
      <w:bookmarkStart w:id="139" w:name="_Toc186033455"/>
      <w:bookmarkStart w:id="140" w:name="_Toc178995070"/>
      <w:bookmarkStart w:id="141" w:name="_Toc186004038"/>
      <w:bookmarkStart w:id="142" w:name="_Toc186004263"/>
      <w:bookmarkStart w:id="143" w:name="_Toc186033456"/>
      <w:bookmarkStart w:id="144" w:name="_Toc178995071"/>
      <w:bookmarkStart w:id="145" w:name="_Toc186004039"/>
      <w:bookmarkStart w:id="146" w:name="_Toc186004264"/>
      <w:bookmarkStart w:id="147" w:name="_Toc186033457"/>
      <w:bookmarkStart w:id="148" w:name="_Toc178995072"/>
      <w:bookmarkStart w:id="149" w:name="_Toc186004040"/>
      <w:bookmarkStart w:id="150" w:name="_Toc186004265"/>
      <w:bookmarkStart w:id="151" w:name="_Toc186033458"/>
      <w:bookmarkStart w:id="152" w:name="_Toc178995073"/>
      <w:bookmarkStart w:id="153" w:name="_Toc186004041"/>
      <w:bookmarkStart w:id="154" w:name="_Toc186004266"/>
      <w:bookmarkStart w:id="155" w:name="_Toc186033459"/>
      <w:bookmarkStart w:id="156" w:name="_Toc178995074"/>
      <w:bookmarkStart w:id="157" w:name="_Toc186004042"/>
      <w:bookmarkStart w:id="158" w:name="_Toc186004267"/>
      <w:bookmarkStart w:id="159" w:name="_Toc186033460"/>
      <w:bookmarkStart w:id="160" w:name="_Toc178995075"/>
      <w:bookmarkStart w:id="161" w:name="_Toc186004043"/>
      <w:bookmarkStart w:id="162" w:name="_Toc186004268"/>
      <w:bookmarkStart w:id="163" w:name="_Toc186033461"/>
      <w:bookmarkStart w:id="164" w:name="_Toc178995076"/>
      <w:bookmarkStart w:id="165" w:name="_Toc186004044"/>
      <w:bookmarkStart w:id="166" w:name="_Toc186004269"/>
      <w:bookmarkStart w:id="167" w:name="_Toc186033462"/>
      <w:bookmarkStart w:id="168" w:name="_Toc178187579"/>
      <w:bookmarkStart w:id="169" w:name="_Toc178995077"/>
      <w:bookmarkStart w:id="170" w:name="_Toc186004045"/>
      <w:bookmarkStart w:id="171" w:name="_Toc186004270"/>
      <w:bookmarkStart w:id="172" w:name="_Toc186033463"/>
      <w:bookmarkStart w:id="173" w:name="_Toc178187580"/>
      <w:bookmarkStart w:id="174" w:name="_Toc178995078"/>
      <w:bookmarkStart w:id="175" w:name="_Toc186004046"/>
      <w:bookmarkStart w:id="176" w:name="_Toc186004271"/>
      <w:bookmarkStart w:id="177" w:name="_Toc186033464"/>
      <w:bookmarkStart w:id="178" w:name="_Toc178187581"/>
      <w:bookmarkStart w:id="179" w:name="_Toc178995079"/>
      <w:bookmarkStart w:id="180" w:name="_Toc186004047"/>
      <w:bookmarkStart w:id="181" w:name="_Toc186004272"/>
      <w:bookmarkStart w:id="182" w:name="_Toc186033465"/>
      <w:bookmarkStart w:id="183" w:name="_Toc178187616"/>
      <w:bookmarkStart w:id="184" w:name="_Toc178995114"/>
      <w:bookmarkStart w:id="185" w:name="_Toc186004082"/>
      <w:bookmarkStart w:id="186" w:name="_Toc186004307"/>
      <w:bookmarkStart w:id="187" w:name="_Toc186033500"/>
      <w:bookmarkStart w:id="188" w:name="_Toc178187617"/>
      <w:bookmarkStart w:id="189" w:name="_Toc178995115"/>
      <w:bookmarkStart w:id="190" w:name="_Toc186004083"/>
      <w:bookmarkStart w:id="191" w:name="_Toc186004308"/>
      <w:bookmarkStart w:id="192" w:name="_Toc186033501"/>
      <w:bookmarkStart w:id="193" w:name="_Toc178187618"/>
      <w:bookmarkStart w:id="194" w:name="_Toc178995116"/>
      <w:bookmarkStart w:id="195" w:name="_Toc186004084"/>
      <w:bookmarkStart w:id="196" w:name="_Toc186004309"/>
      <w:bookmarkStart w:id="197" w:name="_Toc186033502"/>
      <w:bookmarkStart w:id="198" w:name="_Toc178187620"/>
      <w:bookmarkStart w:id="199" w:name="_Toc178995118"/>
      <w:bookmarkStart w:id="200" w:name="_Toc186004086"/>
      <w:bookmarkStart w:id="201" w:name="_Toc186004311"/>
      <w:bookmarkStart w:id="202" w:name="_Toc186033504"/>
      <w:bookmarkStart w:id="203" w:name="_Toc178187626"/>
      <w:bookmarkStart w:id="204" w:name="_Toc178995124"/>
      <w:bookmarkStart w:id="205" w:name="_Toc186004092"/>
      <w:bookmarkStart w:id="206" w:name="_Toc186004317"/>
      <w:bookmarkStart w:id="207" w:name="_Toc1860335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6A547686" w14:textId="77777777" w:rsidR="0088130A" w:rsidRDefault="0088130A" w:rsidP="00274A27">
      <w:pPr>
        <w:spacing w:line="276" w:lineRule="auto"/>
        <w:jc w:val="both"/>
        <w:rPr>
          <w:rFonts w:cs="Arial"/>
          <w:b/>
          <w:sz w:val="28"/>
          <w:szCs w:val="28"/>
        </w:rPr>
      </w:pPr>
    </w:p>
    <w:p w14:paraId="3BD9B07B" w14:textId="77777777" w:rsidR="0088130A" w:rsidRDefault="0088130A" w:rsidP="00274A27">
      <w:pPr>
        <w:spacing w:line="276" w:lineRule="auto"/>
        <w:jc w:val="both"/>
        <w:rPr>
          <w:rFonts w:cs="Arial"/>
          <w:b/>
          <w:sz w:val="28"/>
          <w:szCs w:val="28"/>
        </w:rPr>
      </w:pPr>
    </w:p>
    <w:p w14:paraId="4BEB0209" w14:textId="69D78013" w:rsidR="009B03FB" w:rsidRPr="00E34457" w:rsidRDefault="0088130A" w:rsidP="00274A27">
      <w:pPr>
        <w:spacing w:line="276" w:lineRule="auto"/>
        <w:jc w:val="both"/>
        <w:rPr>
          <w:rFonts w:cs="Arial"/>
          <w:b/>
          <w:sz w:val="28"/>
          <w:szCs w:val="28"/>
        </w:rPr>
      </w:pPr>
      <w:r>
        <w:rPr>
          <w:rFonts w:cs="Arial"/>
          <w:b/>
          <w:sz w:val="28"/>
          <w:szCs w:val="28"/>
        </w:rPr>
        <w:lastRenderedPageBreak/>
        <w:t>CONTACT INFORMATION</w:t>
      </w:r>
    </w:p>
    <w:p w14:paraId="11B9EA6A" w14:textId="77777777" w:rsidR="009B03FB" w:rsidRPr="00361B8B" w:rsidRDefault="009B03FB" w:rsidP="00274A27">
      <w:pPr>
        <w:spacing w:line="276" w:lineRule="auto"/>
        <w:jc w:val="both"/>
        <w:rPr>
          <w:rFonts w:cs="Arial"/>
        </w:rPr>
      </w:pPr>
    </w:p>
    <w:p w14:paraId="2462A180" w14:textId="77777777" w:rsidR="009B03FB" w:rsidRPr="00E34457" w:rsidRDefault="009B03FB" w:rsidP="00274A27">
      <w:pPr>
        <w:spacing w:line="276" w:lineRule="auto"/>
        <w:jc w:val="both"/>
        <w:rPr>
          <w:rFonts w:cs="Arial"/>
        </w:rPr>
      </w:pPr>
      <w:bookmarkStart w:id="208" w:name="_Toc186033513"/>
      <w:r w:rsidRPr="00E34457">
        <w:rPr>
          <w:rFonts w:cs="Arial"/>
        </w:rPr>
        <w:t>Contact information</w:t>
      </w:r>
      <w:bookmarkEnd w:id="208"/>
      <w:r w:rsidR="00BC4344" w:rsidRPr="00E34457">
        <w:rPr>
          <w:rFonts w:cs="Arial"/>
        </w:rPr>
        <w:t xml:space="preserve"> and submission of the bids</w:t>
      </w:r>
    </w:p>
    <w:p w14:paraId="76DA7FCB" w14:textId="77777777" w:rsidR="009B03FB" w:rsidRPr="00361B8B" w:rsidRDefault="009B03FB" w:rsidP="00274A27">
      <w:pPr>
        <w:spacing w:line="276" w:lineRule="auto"/>
        <w:jc w:val="both"/>
        <w:rPr>
          <w:rFonts w:cs="Arial"/>
        </w:rPr>
      </w:pPr>
    </w:p>
    <w:p w14:paraId="376575D9" w14:textId="77777777" w:rsidR="009B03FB" w:rsidRPr="00361B8B" w:rsidRDefault="009B03FB" w:rsidP="00274A27">
      <w:pPr>
        <w:spacing w:line="276" w:lineRule="auto"/>
        <w:jc w:val="both"/>
        <w:rPr>
          <w:rFonts w:cs="Arial"/>
        </w:rPr>
      </w:pPr>
      <w:r w:rsidRPr="00361B8B">
        <w:rPr>
          <w:rFonts w:cs="Arial"/>
        </w:rPr>
        <w:t xml:space="preserve">During the </w:t>
      </w:r>
      <w:r w:rsidR="004A535F" w:rsidRPr="00361B8B">
        <w:rPr>
          <w:rFonts w:cs="Arial"/>
        </w:rPr>
        <w:t>RFP</w:t>
      </w:r>
      <w:r w:rsidR="00C829DE" w:rsidRPr="00361B8B">
        <w:rPr>
          <w:rFonts w:cs="Arial"/>
        </w:rPr>
        <w:t xml:space="preserve"> </w:t>
      </w:r>
      <w:r w:rsidRPr="00361B8B">
        <w:rPr>
          <w:rFonts w:cs="Arial"/>
        </w:rPr>
        <w:t>process your contacts will be:</w:t>
      </w:r>
    </w:p>
    <w:p w14:paraId="4A66DD46" w14:textId="77777777" w:rsidR="009B03FB" w:rsidRPr="00361B8B" w:rsidRDefault="009B03FB" w:rsidP="00274A27">
      <w:pPr>
        <w:spacing w:line="276" w:lineRule="auto"/>
        <w:jc w:val="both"/>
        <w:rPr>
          <w:rFonts w:cs="Arial"/>
        </w:rPr>
      </w:pPr>
    </w:p>
    <w:tbl>
      <w:tblPr>
        <w:tblW w:w="9833" w:type="dxa"/>
        <w:tblInd w:w="-5" w:type="dxa"/>
        <w:tblLayout w:type="fixed"/>
        <w:tblLook w:val="0000" w:firstRow="0" w:lastRow="0" w:firstColumn="0" w:lastColumn="0" w:noHBand="0" w:noVBand="0"/>
      </w:tblPr>
      <w:tblGrid>
        <w:gridCol w:w="1350"/>
        <w:gridCol w:w="1530"/>
        <w:gridCol w:w="3803"/>
        <w:gridCol w:w="3150"/>
      </w:tblGrid>
      <w:tr w:rsidR="002F5B97" w:rsidRPr="00361B8B" w14:paraId="70FAFA3B" w14:textId="77777777" w:rsidTr="00133FED">
        <w:trPr>
          <w:trHeight w:val="223"/>
        </w:trPr>
        <w:tc>
          <w:tcPr>
            <w:tcW w:w="13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439F4B" w14:textId="77777777" w:rsidR="002F5B97" w:rsidRPr="00361B8B" w:rsidRDefault="002F5B97" w:rsidP="00274A27">
            <w:pPr>
              <w:snapToGrid w:val="0"/>
              <w:spacing w:line="276" w:lineRule="auto"/>
              <w:jc w:val="both"/>
              <w:rPr>
                <w:rFonts w:cs="Arial"/>
                <w:b/>
                <w:szCs w:val="20"/>
              </w:rPr>
            </w:pPr>
            <w:r w:rsidRPr="00361B8B">
              <w:rPr>
                <w:rFonts w:cs="Arial"/>
                <w:b/>
                <w:szCs w:val="20"/>
              </w:rPr>
              <w:t>First Name</w:t>
            </w:r>
          </w:p>
        </w:tc>
        <w:tc>
          <w:tcPr>
            <w:tcW w:w="15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842EA6C" w14:textId="77777777" w:rsidR="002F5B97" w:rsidRPr="00361B8B" w:rsidRDefault="002F5B97" w:rsidP="00274A27">
            <w:pPr>
              <w:snapToGrid w:val="0"/>
              <w:spacing w:line="276" w:lineRule="auto"/>
              <w:jc w:val="both"/>
              <w:rPr>
                <w:rFonts w:cs="Arial"/>
                <w:b/>
                <w:szCs w:val="20"/>
              </w:rPr>
            </w:pPr>
            <w:r w:rsidRPr="00361B8B">
              <w:rPr>
                <w:rFonts w:cs="Arial"/>
                <w:b/>
                <w:szCs w:val="20"/>
              </w:rPr>
              <w:t>Last Name</w:t>
            </w:r>
          </w:p>
        </w:tc>
        <w:tc>
          <w:tcPr>
            <w:tcW w:w="3803" w:type="dxa"/>
            <w:tcBorders>
              <w:top w:val="single" w:sz="4" w:space="0" w:color="000000"/>
              <w:left w:val="single" w:sz="4" w:space="0" w:color="000000"/>
              <w:bottom w:val="single" w:sz="4" w:space="0" w:color="000000"/>
            </w:tcBorders>
            <w:shd w:val="clear" w:color="auto" w:fill="F2F2F2" w:themeFill="background1" w:themeFillShade="F2"/>
            <w:vAlign w:val="center"/>
          </w:tcPr>
          <w:p w14:paraId="2A27F379" w14:textId="77777777" w:rsidR="002F5B97" w:rsidRPr="00361B8B" w:rsidRDefault="002F5B97" w:rsidP="00274A27">
            <w:pPr>
              <w:snapToGrid w:val="0"/>
              <w:spacing w:line="276" w:lineRule="auto"/>
              <w:jc w:val="both"/>
              <w:rPr>
                <w:rFonts w:cs="Arial"/>
                <w:b/>
                <w:szCs w:val="20"/>
              </w:rPr>
            </w:pPr>
            <w:r w:rsidRPr="00361B8B">
              <w:rPr>
                <w:rFonts w:cs="Arial"/>
                <w:b/>
                <w:szCs w:val="20"/>
              </w:rPr>
              <w:t>Position</w:t>
            </w:r>
          </w:p>
        </w:tc>
        <w:tc>
          <w:tcPr>
            <w:tcW w:w="31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B43250" w14:textId="77777777" w:rsidR="002F5B97" w:rsidRPr="00361B8B" w:rsidRDefault="002F5B97" w:rsidP="00274A27">
            <w:pPr>
              <w:snapToGrid w:val="0"/>
              <w:spacing w:line="276" w:lineRule="auto"/>
              <w:jc w:val="both"/>
              <w:rPr>
                <w:rFonts w:cs="Arial"/>
                <w:b/>
                <w:szCs w:val="20"/>
              </w:rPr>
            </w:pPr>
            <w:r w:rsidRPr="00361B8B">
              <w:rPr>
                <w:rFonts w:cs="Arial"/>
                <w:b/>
                <w:szCs w:val="20"/>
              </w:rPr>
              <w:t>Email</w:t>
            </w:r>
          </w:p>
        </w:tc>
      </w:tr>
      <w:tr w:rsidR="00BB0087" w:rsidRPr="00361B8B" w14:paraId="66267C63" w14:textId="77777777" w:rsidTr="00133FED">
        <w:trPr>
          <w:trHeight w:val="402"/>
        </w:trPr>
        <w:tc>
          <w:tcPr>
            <w:tcW w:w="1350" w:type="dxa"/>
            <w:tcBorders>
              <w:left w:val="single" w:sz="4" w:space="0" w:color="000000"/>
              <w:bottom w:val="single" w:sz="4" w:space="0" w:color="000000"/>
            </w:tcBorders>
            <w:vAlign w:val="center"/>
          </w:tcPr>
          <w:p w14:paraId="675E9B19" w14:textId="024CEDC8" w:rsidR="00BB0087" w:rsidRPr="002F5B97" w:rsidRDefault="0020005C" w:rsidP="00274A27">
            <w:pPr>
              <w:snapToGrid w:val="0"/>
              <w:spacing w:line="276" w:lineRule="auto"/>
              <w:jc w:val="both"/>
              <w:rPr>
                <w:rFonts w:cs="Arial"/>
                <w:color w:val="000000" w:themeColor="text1"/>
                <w:szCs w:val="20"/>
              </w:rPr>
            </w:pPr>
            <w:r>
              <w:rPr>
                <w:rFonts w:cs="Arial"/>
                <w:color w:val="000000" w:themeColor="text1"/>
                <w:szCs w:val="20"/>
              </w:rPr>
              <w:t>Natalia</w:t>
            </w:r>
          </w:p>
        </w:tc>
        <w:tc>
          <w:tcPr>
            <w:tcW w:w="1530" w:type="dxa"/>
            <w:tcBorders>
              <w:left w:val="single" w:sz="4" w:space="0" w:color="000000"/>
              <w:bottom w:val="single" w:sz="4" w:space="0" w:color="000000"/>
            </w:tcBorders>
            <w:vAlign w:val="center"/>
          </w:tcPr>
          <w:p w14:paraId="3370FD0D" w14:textId="19B12A48" w:rsidR="00BB0087" w:rsidRPr="002F5B97" w:rsidRDefault="0020005C" w:rsidP="00274A27">
            <w:pPr>
              <w:snapToGrid w:val="0"/>
              <w:spacing w:line="276" w:lineRule="auto"/>
              <w:jc w:val="both"/>
              <w:rPr>
                <w:rFonts w:cs="Arial"/>
                <w:color w:val="000000" w:themeColor="text1"/>
                <w:szCs w:val="20"/>
              </w:rPr>
            </w:pPr>
            <w:r>
              <w:rPr>
                <w:rFonts w:cs="Arial"/>
                <w:color w:val="000000" w:themeColor="text1"/>
                <w:szCs w:val="20"/>
              </w:rPr>
              <w:t>Gochiashvili</w:t>
            </w:r>
          </w:p>
        </w:tc>
        <w:tc>
          <w:tcPr>
            <w:tcW w:w="3803" w:type="dxa"/>
            <w:tcBorders>
              <w:left w:val="single" w:sz="4" w:space="0" w:color="000000"/>
              <w:bottom w:val="single" w:sz="4" w:space="0" w:color="000000"/>
            </w:tcBorders>
            <w:vAlign w:val="center"/>
          </w:tcPr>
          <w:p w14:paraId="10A8B5F1" w14:textId="77777777" w:rsidR="00BB0087" w:rsidRPr="006A6149" w:rsidRDefault="004044FE" w:rsidP="00274A27">
            <w:pPr>
              <w:snapToGrid w:val="0"/>
              <w:spacing w:line="276" w:lineRule="auto"/>
              <w:jc w:val="both"/>
              <w:rPr>
                <w:rFonts w:cs="Arial"/>
                <w:szCs w:val="20"/>
              </w:rPr>
            </w:pPr>
            <w:r>
              <w:rPr>
                <w:rFonts w:cs="Arial"/>
                <w:szCs w:val="20"/>
              </w:rPr>
              <w:t>Procurement Specialist</w:t>
            </w:r>
          </w:p>
        </w:tc>
        <w:tc>
          <w:tcPr>
            <w:tcW w:w="3150" w:type="dxa"/>
            <w:tcBorders>
              <w:left w:val="single" w:sz="4" w:space="0" w:color="000000"/>
              <w:bottom w:val="single" w:sz="4" w:space="0" w:color="000000"/>
              <w:right w:val="single" w:sz="4" w:space="0" w:color="000000"/>
            </w:tcBorders>
            <w:vAlign w:val="center"/>
          </w:tcPr>
          <w:p w14:paraId="33588657" w14:textId="5FE1809F" w:rsidR="00BB0087" w:rsidRPr="0020005C" w:rsidRDefault="00444818" w:rsidP="00274A27">
            <w:pPr>
              <w:snapToGrid w:val="0"/>
              <w:spacing w:line="276" w:lineRule="auto"/>
              <w:jc w:val="both"/>
              <w:rPr>
                <w:rFonts w:ascii="Sylfaen" w:hAnsi="Sylfaen" w:cs="Arial"/>
                <w:szCs w:val="20"/>
                <w:lang w:val="ka-GE"/>
              </w:rPr>
            </w:pPr>
            <w:hyperlink r:id="rId8" w:history="1">
              <w:r w:rsidR="0020005C" w:rsidRPr="007876D2">
                <w:rPr>
                  <w:rStyle w:val="Hyperlink"/>
                </w:rPr>
                <w:t>Natalia.Gochiashvili@finca.ge</w:t>
              </w:r>
            </w:hyperlink>
            <w:r w:rsidR="0020005C">
              <w:rPr>
                <w:rFonts w:ascii="Sylfaen" w:hAnsi="Sylfaen"/>
                <w:lang w:val="ka-GE"/>
              </w:rPr>
              <w:t xml:space="preserve"> </w:t>
            </w:r>
          </w:p>
        </w:tc>
      </w:tr>
      <w:tr w:rsidR="00BB0087" w:rsidRPr="00361B8B" w14:paraId="171CE2D6" w14:textId="77777777" w:rsidTr="0020005C">
        <w:trPr>
          <w:trHeight w:val="350"/>
        </w:trPr>
        <w:tc>
          <w:tcPr>
            <w:tcW w:w="1350" w:type="dxa"/>
            <w:tcBorders>
              <w:left w:val="single" w:sz="4" w:space="0" w:color="000000"/>
              <w:bottom w:val="single" w:sz="4" w:space="0" w:color="auto"/>
            </w:tcBorders>
            <w:vAlign w:val="center"/>
          </w:tcPr>
          <w:p w14:paraId="6D7ED86D" w14:textId="0B97CEBB" w:rsidR="00BB0087" w:rsidRPr="0020005C" w:rsidRDefault="0020005C" w:rsidP="00274A27">
            <w:pPr>
              <w:snapToGrid w:val="0"/>
              <w:spacing w:line="276" w:lineRule="auto"/>
              <w:jc w:val="both"/>
              <w:rPr>
                <w:rFonts w:cs="Arial"/>
                <w:szCs w:val="20"/>
              </w:rPr>
            </w:pPr>
            <w:r w:rsidRPr="0020005C">
              <w:rPr>
                <w:rFonts w:cs="Arial"/>
                <w:szCs w:val="20"/>
              </w:rPr>
              <w:t xml:space="preserve">Giorgi </w:t>
            </w:r>
          </w:p>
        </w:tc>
        <w:tc>
          <w:tcPr>
            <w:tcW w:w="1530" w:type="dxa"/>
            <w:tcBorders>
              <w:left w:val="single" w:sz="4" w:space="0" w:color="000000"/>
              <w:bottom w:val="single" w:sz="4" w:space="0" w:color="auto"/>
            </w:tcBorders>
            <w:vAlign w:val="center"/>
          </w:tcPr>
          <w:p w14:paraId="3641AE1B" w14:textId="0B8F17FC" w:rsidR="00BB0087" w:rsidRPr="00BB0087" w:rsidRDefault="0020005C" w:rsidP="00274A27">
            <w:pPr>
              <w:spacing w:line="276" w:lineRule="auto"/>
              <w:jc w:val="both"/>
              <w:rPr>
                <w:rFonts w:cs="Arial"/>
                <w:szCs w:val="20"/>
                <w:lang w:val="ru-RU" w:bidi="th-TH"/>
              </w:rPr>
            </w:pPr>
            <w:r w:rsidRPr="0020005C">
              <w:rPr>
                <w:rFonts w:cs="Arial"/>
                <w:szCs w:val="20"/>
              </w:rPr>
              <w:t>Dvali</w:t>
            </w:r>
          </w:p>
        </w:tc>
        <w:tc>
          <w:tcPr>
            <w:tcW w:w="3803" w:type="dxa"/>
            <w:tcBorders>
              <w:left w:val="single" w:sz="4" w:space="0" w:color="000000"/>
              <w:bottom w:val="single" w:sz="4" w:space="0" w:color="auto"/>
            </w:tcBorders>
            <w:vAlign w:val="center"/>
          </w:tcPr>
          <w:p w14:paraId="10C119DA" w14:textId="5CE22B5C" w:rsidR="00BB0087" w:rsidRPr="00BB0087" w:rsidRDefault="0020005C" w:rsidP="00274A27">
            <w:pPr>
              <w:pStyle w:val="Normal8pt"/>
              <w:snapToGrid w:val="0"/>
              <w:spacing w:line="276" w:lineRule="auto"/>
              <w:jc w:val="both"/>
              <w:rPr>
                <w:sz w:val="20"/>
                <w:szCs w:val="20"/>
                <w:highlight w:val="yellow"/>
                <w:lang w:val="ru-RU"/>
              </w:rPr>
            </w:pPr>
            <w:r w:rsidRPr="0020005C">
              <w:rPr>
                <w:sz w:val="20"/>
                <w:szCs w:val="20"/>
                <w:lang w:val="ru-RU"/>
              </w:rPr>
              <w:t>Information Security Manager</w:t>
            </w:r>
          </w:p>
        </w:tc>
        <w:tc>
          <w:tcPr>
            <w:tcW w:w="3150" w:type="dxa"/>
            <w:tcBorders>
              <w:left w:val="single" w:sz="4" w:space="0" w:color="000000"/>
              <w:bottom w:val="single" w:sz="4" w:space="0" w:color="auto"/>
              <w:right w:val="single" w:sz="4" w:space="0" w:color="000000"/>
            </w:tcBorders>
            <w:vAlign w:val="center"/>
          </w:tcPr>
          <w:p w14:paraId="5B098414" w14:textId="245B7DE4" w:rsidR="00BB0087" w:rsidRPr="0020005C" w:rsidRDefault="00444818" w:rsidP="00274A27">
            <w:pPr>
              <w:snapToGrid w:val="0"/>
              <w:spacing w:line="276" w:lineRule="auto"/>
              <w:jc w:val="both"/>
              <w:rPr>
                <w:rFonts w:ascii="Sylfaen" w:hAnsi="Sylfaen" w:cs="Arial"/>
                <w:szCs w:val="20"/>
                <w:lang w:val="ka-GE"/>
              </w:rPr>
            </w:pPr>
            <w:hyperlink r:id="rId9" w:history="1">
              <w:r w:rsidR="0020005C" w:rsidRPr="007876D2">
                <w:rPr>
                  <w:rStyle w:val="Hyperlink"/>
                  <w:rFonts w:cs="Arial"/>
                  <w:szCs w:val="20"/>
                </w:rPr>
                <w:t>Giorgi.Dvali@finca.ge</w:t>
              </w:r>
            </w:hyperlink>
            <w:r w:rsidR="0020005C">
              <w:rPr>
                <w:rFonts w:ascii="Sylfaen" w:hAnsi="Sylfaen" w:cs="Arial"/>
                <w:szCs w:val="20"/>
                <w:lang w:val="ka-GE"/>
              </w:rPr>
              <w:t xml:space="preserve"> </w:t>
            </w:r>
          </w:p>
        </w:tc>
      </w:tr>
      <w:tr w:rsidR="0020005C" w:rsidRPr="00361B8B" w14:paraId="65C877E4" w14:textId="77777777" w:rsidTr="0020005C">
        <w:trPr>
          <w:trHeight w:val="350"/>
        </w:trPr>
        <w:tc>
          <w:tcPr>
            <w:tcW w:w="1350" w:type="dxa"/>
            <w:tcBorders>
              <w:top w:val="single" w:sz="4" w:space="0" w:color="auto"/>
              <w:left w:val="single" w:sz="4" w:space="0" w:color="auto"/>
              <w:bottom w:val="single" w:sz="4" w:space="0" w:color="auto"/>
              <w:right w:val="single" w:sz="4" w:space="0" w:color="auto"/>
            </w:tcBorders>
            <w:vAlign w:val="center"/>
          </w:tcPr>
          <w:p w14:paraId="0C30AAE9" w14:textId="4EB51B9A" w:rsidR="0020005C" w:rsidRPr="0020005C" w:rsidRDefault="0020005C" w:rsidP="00274A27">
            <w:pPr>
              <w:snapToGrid w:val="0"/>
              <w:spacing w:line="276" w:lineRule="auto"/>
              <w:jc w:val="both"/>
              <w:rPr>
                <w:rFonts w:cs="Arial"/>
                <w:szCs w:val="20"/>
              </w:rPr>
            </w:pPr>
            <w:r w:rsidRPr="0020005C">
              <w:rPr>
                <w:rFonts w:cs="Arial"/>
                <w:szCs w:val="20"/>
              </w:rPr>
              <w:t xml:space="preserve">Vladimer </w:t>
            </w:r>
          </w:p>
        </w:tc>
        <w:tc>
          <w:tcPr>
            <w:tcW w:w="1530" w:type="dxa"/>
            <w:tcBorders>
              <w:top w:val="single" w:sz="4" w:space="0" w:color="auto"/>
              <w:left w:val="single" w:sz="4" w:space="0" w:color="auto"/>
              <w:bottom w:val="single" w:sz="4" w:space="0" w:color="auto"/>
              <w:right w:val="single" w:sz="4" w:space="0" w:color="auto"/>
            </w:tcBorders>
            <w:vAlign w:val="center"/>
          </w:tcPr>
          <w:p w14:paraId="42196D4F" w14:textId="14F0D4EA" w:rsidR="0020005C" w:rsidRPr="0020005C" w:rsidRDefault="0020005C" w:rsidP="00274A27">
            <w:pPr>
              <w:spacing w:line="276" w:lineRule="auto"/>
              <w:jc w:val="both"/>
              <w:rPr>
                <w:rFonts w:cs="Arial"/>
                <w:szCs w:val="20"/>
                <w:lang w:bidi="th-TH"/>
              </w:rPr>
            </w:pPr>
            <w:r w:rsidRPr="0020005C">
              <w:rPr>
                <w:rFonts w:cs="Arial"/>
                <w:szCs w:val="20"/>
              </w:rPr>
              <w:t>Gordadze</w:t>
            </w:r>
          </w:p>
        </w:tc>
        <w:tc>
          <w:tcPr>
            <w:tcW w:w="3803" w:type="dxa"/>
            <w:tcBorders>
              <w:top w:val="single" w:sz="4" w:space="0" w:color="auto"/>
              <w:left w:val="single" w:sz="4" w:space="0" w:color="auto"/>
              <w:bottom w:val="single" w:sz="4" w:space="0" w:color="auto"/>
              <w:right w:val="single" w:sz="4" w:space="0" w:color="auto"/>
            </w:tcBorders>
            <w:vAlign w:val="center"/>
          </w:tcPr>
          <w:p w14:paraId="6483402C" w14:textId="0EE03D6E" w:rsidR="0020005C" w:rsidRPr="0020005C" w:rsidRDefault="0020005C" w:rsidP="00274A27">
            <w:pPr>
              <w:pStyle w:val="Normal8pt"/>
              <w:snapToGrid w:val="0"/>
              <w:spacing w:line="276" w:lineRule="auto"/>
              <w:jc w:val="both"/>
              <w:rPr>
                <w:sz w:val="20"/>
                <w:szCs w:val="20"/>
              </w:rPr>
            </w:pPr>
            <w:r w:rsidRPr="0020005C">
              <w:rPr>
                <w:sz w:val="20"/>
                <w:szCs w:val="20"/>
              </w:rPr>
              <w:t>Senior Auditor</w:t>
            </w:r>
          </w:p>
        </w:tc>
        <w:tc>
          <w:tcPr>
            <w:tcW w:w="3150" w:type="dxa"/>
            <w:tcBorders>
              <w:top w:val="single" w:sz="4" w:space="0" w:color="auto"/>
              <w:left w:val="single" w:sz="4" w:space="0" w:color="auto"/>
              <w:bottom w:val="single" w:sz="4" w:space="0" w:color="auto"/>
              <w:right w:val="single" w:sz="4" w:space="0" w:color="auto"/>
            </w:tcBorders>
            <w:vAlign w:val="center"/>
          </w:tcPr>
          <w:p w14:paraId="1A41B4F9" w14:textId="318BDB56" w:rsidR="0020005C" w:rsidRPr="0020005C" w:rsidRDefault="00444818" w:rsidP="00274A27">
            <w:pPr>
              <w:snapToGrid w:val="0"/>
              <w:spacing w:line="276" w:lineRule="auto"/>
              <w:jc w:val="both"/>
              <w:rPr>
                <w:rFonts w:ascii="Sylfaen" w:hAnsi="Sylfaen"/>
                <w:lang w:val="ka-GE"/>
              </w:rPr>
            </w:pPr>
            <w:hyperlink r:id="rId10" w:history="1">
              <w:r w:rsidR="0020005C" w:rsidRPr="007876D2">
                <w:rPr>
                  <w:rStyle w:val="Hyperlink"/>
                  <w:rFonts w:cs="Arial"/>
                  <w:szCs w:val="20"/>
                </w:rPr>
                <w:t>Vladimer.Gordadze@finca.ge</w:t>
              </w:r>
            </w:hyperlink>
            <w:r w:rsidR="0020005C">
              <w:rPr>
                <w:rFonts w:ascii="Sylfaen" w:hAnsi="Sylfaen" w:cs="Arial"/>
                <w:szCs w:val="20"/>
                <w:lang w:val="ka-GE"/>
              </w:rPr>
              <w:t xml:space="preserve"> </w:t>
            </w:r>
          </w:p>
        </w:tc>
      </w:tr>
    </w:tbl>
    <w:p w14:paraId="4A36F0FA" w14:textId="77777777" w:rsidR="008A701D" w:rsidRDefault="008A701D" w:rsidP="00274A27">
      <w:pPr>
        <w:spacing w:line="276" w:lineRule="auto"/>
        <w:ind w:left="284"/>
        <w:jc w:val="both"/>
        <w:rPr>
          <w:rFonts w:cs="Arial"/>
        </w:rPr>
      </w:pPr>
    </w:p>
    <w:p w14:paraId="38C77A5E" w14:textId="39BAF338" w:rsidR="009B03FB" w:rsidRPr="006A6149" w:rsidRDefault="006A6149" w:rsidP="00274A27">
      <w:pPr>
        <w:spacing w:line="276" w:lineRule="auto"/>
        <w:jc w:val="both"/>
        <w:rPr>
          <w:rFonts w:cs="Arial"/>
        </w:rPr>
      </w:pPr>
      <w:r>
        <w:rPr>
          <w:rFonts w:cs="Arial"/>
        </w:rPr>
        <w:t>*</w:t>
      </w:r>
      <w:r w:rsidRPr="006A6149">
        <w:rPr>
          <w:rFonts w:cs="Arial"/>
        </w:rPr>
        <w:t xml:space="preserve">Please include </w:t>
      </w:r>
      <w:r w:rsidR="003D09B6">
        <w:rPr>
          <w:rFonts w:cs="Arial"/>
        </w:rPr>
        <w:t>all</w:t>
      </w:r>
      <w:r w:rsidRPr="006A6149">
        <w:rPr>
          <w:rFonts w:cs="Arial"/>
        </w:rPr>
        <w:t xml:space="preserve"> contacts when sending e-mails;</w:t>
      </w:r>
    </w:p>
    <w:p w14:paraId="57AE2FEE" w14:textId="77777777" w:rsidR="006A6149" w:rsidRPr="006A6149" w:rsidRDefault="006A6149" w:rsidP="00274A27">
      <w:pPr>
        <w:pStyle w:val="ListParagraph"/>
        <w:spacing w:line="276" w:lineRule="auto"/>
        <w:jc w:val="both"/>
        <w:rPr>
          <w:rFonts w:cs="Arial"/>
        </w:rPr>
      </w:pPr>
    </w:p>
    <w:p w14:paraId="507197C0" w14:textId="77777777" w:rsidR="009B03FB" w:rsidRPr="00361B8B" w:rsidRDefault="009B03FB" w:rsidP="0088130A">
      <w:pPr>
        <w:spacing w:line="276" w:lineRule="auto"/>
        <w:jc w:val="both"/>
        <w:rPr>
          <w:rFonts w:cs="Arial"/>
        </w:rPr>
      </w:pPr>
      <w:r w:rsidRPr="00361B8B">
        <w:rPr>
          <w:rFonts w:cs="Arial"/>
        </w:rPr>
        <w:t xml:space="preserve">The </w:t>
      </w:r>
      <w:r w:rsidR="004A535F" w:rsidRPr="00361B8B">
        <w:rPr>
          <w:rFonts w:cs="Arial"/>
        </w:rPr>
        <w:t>bidder</w:t>
      </w:r>
      <w:r w:rsidRPr="00361B8B">
        <w:rPr>
          <w:rFonts w:cs="Arial"/>
        </w:rPr>
        <w:t xml:space="preserve"> is free to provide any additional relevant information not covered by th</w:t>
      </w:r>
      <w:r w:rsidR="002D331C" w:rsidRPr="00361B8B">
        <w:rPr>
          <w:rFonts w:cs="Arial"/>
        </w:rPr>
        <w:t>e</w:t>
      </w:r>
      <w:r w:rsidRPr="00361B8B">
        <w:rPr>
          <w:rFonts w:cs="Arial"/>
        </w:rPr>
        <w:t xml:space="preserve"> RFP or an alternative proposal if he considers them more tailored to the </w:t>
      </w:r>
      <w:r w:rsidR="00B827A6" w:rsidRPr="00361B8B">
        <w:rPr>
          <w:rFonts w:cs="Arial"/>
        </w:rPr>
        <w:t>c</w:t>
      </w:r>
      <w:r w:rsidRPr="00361B8B">
        <w:rPr>
          <w:rFonts w:cs="Arial"/>
        </w:rPr>
        <w:t>lient. Such items will be submitted as attachments to the proposal.</w:t>
      </w:r>
    </w:p>
    <w:p w14:paraId="30D775DF" w14:textId="77777777" w:rsidR="009B03FB" w:rsidRPr="00B84CAA" w:rsidRDefault="009B03FB" w:rsidP="0088130A">
      <w:pPr>
        <w:spacing w:line="276" w:lineRule="auto"/>
        <w:jc w:val="both"/>
        <w:rPr>
          <w:rFonts w:cs="Arial"/>
        </w:rPr>
      </w:pPr>
    </w:p>
    <w:p w14:paraId="54D1ACAD" w14:textId="0F2BD036" w:rsidR="00BD7AD3" w:rsidRPr="00B84CAA" w:rsidRDefault="009B03FB" w:rsidP="0088130A">
      <w:pPr>
        <w:spacing w:line="276" w:lineRule="auto"/>
        <w:jc w:val="both"/>
        <w:rPr>
          <w:rFonts w:cs="Arial"/>
          <w:b/>
        </w:rPr>
      </w:pPr>
      <w:r w:rsidRPr="00B84CAA">
        <w:rPr>
          <w:rFonts w:cs="Arial"/>
          <w:b/>
        </w:rPr>
        <w:t xml:space="preserve">The </w:t>
      </w:r>
      <w:r w:rsidR="00BD7AD3" w:rsidRPr="00B84CAA">
        <w:rPr>
          <w:rFonts w:cs="Arial"/>
          <w:b/>
        </w:rPr>
        <w:t xml:space="preserve">bids (in English) </w:t>
      </w:r>
      <w:r w:rsidRPr="00B84CAA">
        <w:rPr>
          <w:rFonts w:cs="Arial"/>
          <w:b/>
        </w:rPr>
        <w:t xml:space="preserve">shall be received </w:t>
      </w:r>
      <w:r w:rsidR="00307931" w:rsidRPr="00B84CAA">
        <w:rPr>
          <w:rFonts w:cs="Arial"/>
          <w:b/>
        </w:rPr>
        <w:t>not later than</w:t>
      </w:r>
      <w:r w:rsidR="005319C0" w:rsidRPr="00B84CAA">
        <w:rPr>
          <w:rFonts w:cs="Arial"/>
          <w:b/>
        </w:rPr>
        <w:t xml:space="preserve"> </w:t>
      </w:r>
      <w:r w:rsidR="0020005C" w:rsidRPr="00B84CAA">
        <w:rPr>
          <w:rFonts w:cs="Arial"/>
          <w:b/>
        </w:rPr>
        <w:t>November</w:t>
      </w:r>
      <w:r w:rsidR="009C603E" w:rsidRPr="00B84CAA">
        <w:rPr>
          <w:rFonts w:cs="Arial"/>
          <w:b/>
        </w:rPr>
        <w:t xml:space="preserve"> </w:t>
      </w:r>
      <w:r w:rsidR="000E6685" w:rsidRPr="00B84CAA">
        <w:rPr>
          <w:rFonts w:cs="Arial"/>
          <w:b/>
        </w:rPr>
        <w:t>6</w:t>
      </w:r>
      <w:r w:rsidR="00B91977" w:rsidRPr="00B84CAA">
        <w:rPr>
          <w:rFonts w:cs="Arial"/>
          <w:b/>
        </w:rPr>
        <w:t xml:space="preserve">, </w:t>
      </w:r>
      <w:r w:rsidRPr="00B84CAA">
        <w:rPr>
          <w:rFonts w:cs="Arial"/>
          <w:b/>
          <w:szCs w:val="20"/>
        </w:rPr>
        <w:t>20</w:t>
      </w:r>
      <w:r w:rsidR="0020005C" w:rsidRPr="00B84CAA">
        <w:rPr>
          <w:rFonts w:cs="Arial"/>
          <w:b/>
          <w:szCs w:val="20"/>
        </w:rPr>
        <w:t>20</w:t>
      </w:r>
      <w:r w:rsidRPr="00B84CAA">
        <w:rPr>
          <w:rFonts w:cs="Arial"/>
          <w:b/>
        </w:rPr>
        <w:t xml:space="preserve"> via </w:t>
      </w:r>
      <w:r w:rsidR="002D445E" w:rsidRPr="00B84CAA">
        <w:rPr>
          <w:rFonts w:cs="Arial"/>
          <w:b/>
        </w:rPr>
        <w:t>sealed</w:t>
      </w:r>
      <w:r w:rsidR="00906842" w:rsidRPr="00B84CAA">
        <w:rPr>
          <w:rFonts w:cs="Arial"/>
          <w:b/>
        </w:rPr>
        <w:t xml:space="preserve"> envelope</w:t>
      </w:r>
      <w:r w:rsidR="003F6F14" w:rsidRPr="00B84CAA">
        <w:rPr>
          <w:rFonts w:cs="Arial"/>
          <w:b/>
        </w:rPr>
        <w:t xml:space="preserve"> at HO of </w:t>
      </w:r>
      <w:r w:rsidR="00E65B56" w:rsidRPr="00B84CAA">
        <w:rPr>
          <w:rFonts w:cs="Arial"/>
          <w:b/>
        </w:rPr>
        <w:t>FINCA Bank Georgia</w:t>
      </w:r>
      <w:r w:rsidR="003F6F14" w:rsidRPr="00B84CAA">
        <w:rPr>
          <w:rFonts w:cs="Arial"/>
          <w:b/>
        </w:rPr>
        <w:t xml:space="preserve"> at </w:t>
      </w:r>
      <w:r w:rsidR="00E57151" w:rsidRPr="00B84CAA">
        <w:rPr>
          <w:rFonts w:cs="Arial"/>
          <w:b/>
        </w:rPr>
        <w:t xml:space="preserve">71 </w:t>
      </w:r>
      <w:proofErr w:type="spellStart"/>
      <w:r w:rsidR="00E57151" w:rsidRPr="00B84CAA">
        <w:rPr>
          <w:rFonts w:cs="Arial"/>
          <w:b/>
        </w:rPr>
        <w:t>Vazha</w:t>
      </w:r>
      <w:proofErr w:type="spellEnd"/>
      <w:r w:rsidR="00E57151" w:rsidRPr="00B84CAA">
        <w:rPr>
          <w:rFonts w:cs="Arial"/>
          <w:b/>
        </w:rPr>
        <w:t xml:space="preserve"> </w:t>
      </w:r>
      <w:proofErr w:type="spellStart"/>
      <w:r w:rsidR="00E57151" w:rsidRPr="00B84CAA">
        <w:rPr>
          <w:rFonts w:cs="Arial"/>
          <w:b/>
        </w:rPr>
        <w:t>Pshavela</w:t>
      </w:r>
      <w:proofErr w:type="spellEnd"/>
      <w:r w:rsidR="00E57151" w:rsidRPr="00B84CAA">
        <w:rPr>
          <w:rFonts w:cs="Arial"/>
          <w:b/>
        </w:rPr>
        <w:t xml:space="preserve"> avenue, III Floor, office N12, 0186, Tbilisi, Georgia</w:t>
      </w:r>
      <w:r w:rsidR="008F322C" w:rsidRPr="00B84CAA">
        <w:rPr>
          <w:rFonts w:cs="Arial"/>
          <w:b/>
        </w:rPr>
        <w:t>,</w:t>
      </w:r>
      <w:r w:rsidR="003F6F14" w:rsidRPr="00B84CAA">
        <w:rPr>
          <w:rFonts w:cs="Arial"/>
          <w:b/>
        </w:rPr>
        <w:t xml:space="preserve"> during the working hours </w:t>
      </w:r>
      <w:r w:rsidR="00A638FE" w:rsidRPr="00B84CAA">
        <w:rPr>
          <w:rFonts w:cs="Arial"/>
          <w:b/>
        </w:rPr>
        <w:t xml:space="preserve">from 9:00 a.m. </w:t>
      </w:r>
      <w:r w:rsidR="0015339E" w:rsidRPr="00B84CAA">
        <w:rPr>
          <w:rFonts w:cs="Arial"/>
          <w:b/>
        </w:rPr>
        <w:t>to 6</w:t>
      </w:r>
      <w:r w:rsidR="00A638FE" w:rsidRPr="00B84CAA">
        <w:rPr>
          <w:rFonts w:cs="Arial"/>
          <w:b/>
        </w:rPr>
        <w:t>:00 p.m.</w:t>
      </w:r>
    </w:p>
    <w:p w14:paraId="0ADA3953" w14:textId="77777777" w:rsidR="00BC4344" w:rsidRPr="00361B8B" w:rsidRDefault="00BC4344" w:rsidP="00274A27">
      <w:pPr>
        <w:spacing w:line="276" w:lineRule="auto"/>
        <w:jc w:val="both"/>
        <w:rPr>
          <w:rFonts w:cs="Arial"/>
        </w:rPr>
      </w:pPr>
    </w:p>
    <w:p w14:paraId="7F4A15F9" w14:textId="77777777" w:rsidR="00A80C42" w:rsidRDefault="00A80C42" w:rsidP="00274A27">
      <w:pPr>
        <w:spacing w:line="276" w:lineRule="auto"/>
        <w:jc w:val="both"/>
        <w:rPr>
          <w:rFonts w:cs="Arial"/>
          <w:b/>
          <w:sz w:val="28"/>
          <w:szCs w:val="28"/>
        </w:rPr>
      </w:pPr>
    </w:p>
    <w:p w14:paraId="4261DA1B" w14:textId="4F5EB4C7" w:rsidR="003D09B6" w:rsidRDefault="00A80C42" w:rsidP="00274A27">
      <w:pPr>
        <w:spacing w:line="276" w:lineRule="auto"/>
        <w:jc w:val="both"/>
        <w:rPr>
          <w:rFonts w:cs="Arial"/>
          <w:b/>
          <w:sz w:val="28"/>
          <w:szCs w:val="28"/>
        </w:rPr>
      </w:pPr>
      <w:r>
        <w:rPr>
          <w:rFonts w:cs="Arial"/>
          <w:b/>
          <w:sz w:val="28"/>
          <w:szCs w:val="28"/>
        </w:rPr>
        <w:t>PROPOSAL VALIDITY</w:t>
      </w:r>
    </w:p>
    <w:p w14:paraId="28EAB641" w14:textId="77777777" w:rsidR="00A80C42" w:rsidRDefault="00A80C42" w:rsidP="00274A27">
      <w:pPr>
        <w:spacing w:line="276" w:lineRule="auto"/>
        <w:jc w:val="both"/>
        <w:rPr>
          <w:rFonts w:cs="Arial"/>
          <w:b/>
          <w:sz w:val="28"/>
          <w:szCs w:val="28"/>
        </w:rPr>
      </w:pPr>
      <w:bookmarkStart w:id="209" w:name="_GoBack"/>
      <w:bookmarkEnd w:id="209"/>
    </w:p>
    <w:p w14:paraId="2B56DFB2" w14:textId="650233FC" w:rsidR="002B3D38" w:rsidRDefault="002B3D38" w:rsidP="00274A27">
      <w:pPr>
        <w:spacing w:line="276" w:lineRule="auto"/>
        <w:jc w:val="both"/>
        <w:rPr>
          <w:rFonts w:cs="Arial"/>
        </w:rPr>
      </w:pPr>
      <w:r w:rsidRPr="00361B8B">
        <w:rPr>
          <w:rFonts w:cs="Arial"/>
        </w:rPr>
        <w:t xml:space="preserve">Tender </w:t>
      </w:r>
      <w:r w:rsidR="00353359" w:rsidRPr="00361B8B">
        <w:rPr>
          <w:rFonts w:cs="Arial"/>
        </w:rPr>
        <w:t>Proposal must</w:t>
      </w:r>
      <w:r w:rsidRPr="00361B8B">
        <w:rPr>
          <w:rFonts w:cs="Arial"/>
        </w:rPr>
        <w:t xml:space="preserve"> remain open and valid for consideration for a period of </w:t>
      </w:r>
      <w:r w:rsidR="008E057C" w:rsidRPr="00343076">
        <w:rPr>
          <w:rFonts w:cs="Arial"/>
        </w:rPr>
        <w:t>2</w:t>
      </w:r>
      <w:r w:rsidRPr="00343076">
        <w:rPr>
          <w:rFonts w:cs="Arial"/>
        </w:rPr>
        <w:t xml:space="preserve"> </w:t>
      </w:r>
      <w:r w:rsidR="008E057C" w:rsidRPr="00343076">
        <w:rPr>
          <w:rFonts w:cs="Arial"/>
        </w:rPr>
        <w:t>(two</w:t>
      </w:r>
      <w:r w:rsidR="00A638FE" w:rsidRPr="00343076">
        <w:rPr>
          <w:rFonts w:cs="Arial"/>
        </w:rPr>
        <w:t xml:space="preserve">) </w:t>
      </w:r>
      <w:r w:rsidR="00C52822" w:rsidRPr="00343076">
        <w:rPr>
          <w:rFonts w:cs="Arial"/>
        </w:rPr>
        <w:t>wee</w:t>
      </w:r>
      <w:r w:rsidR="00C52822" w:rsidRPr="00BB0F0F">
        <w:rPr>
          <w:rFonts w:cs="Arial"/>
        </w:rPr>
        <w:t>k</w:t>
      </w:r>
      <w:r w:rsidR="00BB0F0F" w:rsidRPr="00BB0F0F">
        <w:rPr>
          <w:rFonts w:cs="Arial"/>
        </w:rPr>
        <w:t>s</w:t>
      </w:r>
      <w:r w:rsidRPr="00361B8B">
        <w:rPr>
          <w:rFonts w:cs="Arial"/>
        </w:rPr>
        <w:t xml:space="preserve"> from the date it was received by </w:t>
      </w:r>
      <w:r w:rsidR="00E65B56" w:rsidRPr="00361B8B">
        <w:rPr>
          <w:rFonts w:cs="Arial"/>
        </w:rPr>
        <w:t>FINCA Bank Georgia</w:t>
      </w:r>
      <w:r w:rsidRPr="00361B8B">
        <w:rPr>
          <w:rFonts w:cs="Arial"/>
        </w:rPr>
        <w:t>.</w:t>
      </w:r>
    </w:p>
    <w:p w14:paraId="3ED06743" w14:textId="7F583B45" w:rsidR="004044FE" w:rsidRDefault="004044FE" w:rsidP="00274A27">
      <w:pPr>
        <w:spacing w:line="276" w:lineRule="auto"/>
        <w:jc w:val="both"/>
        <w:rPr>
          <w:rFonts w:cs="Arial"/>
        </w:rPr>
      </w:pPr>
      <w:r>
        <w:rPr>
          <w:rFonts w:cs="Arial"/>
        </w:rPr>
        <w:t>Shortlisted Candidates will be invited for an interview.</w:t>
      </w:r>
    </w:p>
    <w:p w14:paraId="76E6BC86" w14:textId="0CDB67A1" w:rsidR="007A076E" w:rsidRDefault="007A076E" w:rsidP="00274A27">
      <w:pPr>
        <w:spacing w:line="276" w:lineRule="auto"/>
        <w:jc w:val="both"/>
        <w:rPr>
          <w:rFonts w:cs="Arial"/>
        </w:rPr>
      </w:pPr>
    </w:p>
    <w:p w14:paraId="58234435" w14:textId="4608670F" w:rsidR="007A076E" w:rsidRPr="0088130A" w:rsidRDefault="00A80C42" w:rsidP="00274A27">
      <w:pPr>
        <w:spacing w:line="276" w:lineRule="auto"/>
        <w:jc w:val="both"/>
        <w:rPr>
          <w:rFonts w:cs="Arial"/>
          <w:b/>
          <w:bCs/>
          <w:sz w:val="28"/>
          <w:szCs w:val="28"/>
        </w:rPr>
      </w:pPr>
      <w:r>
        <w:rPr>
          <w:rFonts w:cs="Arial"/>
          <w:b/>
          <w:bCs/>
          <w:sz w:val="28"/>
          <w:szCs w:val="28"/>
        </w:rPr>
        <w:t>CONFLICT OF INTEREST</w:t>
      </w:r>
    </w:p>
    <w:p w14:paraId="04CB344C" w14:textId="77777777" w:rsidR="0088130A" w:rsidRDefault="0088130A" w:rsidP="0088130A">
      <w:pPr>
        <w:spacing w:line="276" w:lineRule="auto"/>
        <w:jc w:val="both"/>
        <w:rPr>
          <w:rFonts w:cs="Arial"/>
        </w:rPr>
      </w:pPr>
    </w:p>
    <w:p w14:paraId="5C1646A3" w14:textId="1C4100DF" w:rsidR="00EF5804" w:rsidRDefault="007A076E" w:rsidP="0088130A">
      <w:pPr>
        <w:spacing w:line="276" w:lineRule="auto"/>
        <w:jc w:val="both"/>
        <w:rPr>
          <w:rFonts w:cs="Arial"/>
        </w:rPr>
      </w:pPr>
      <w:r w:rsidRPr="007A076E">
        <w:rPr>
          <w:rFonts w:cs="Arial"/>
        </w:rPr>
        <w:t>JSC FINCA Bank Georgia operates in accordance with the highest ethical and professional standards and in accordance with the Bank's internal rules, the Bank employee and / or its related person may not have a direct or indirect financial interest in any of the Bank's counterparties (conflict of interest). In view of the above, there should be no conflict of interest between the company participating in the tender and the bank employee and / or their related parties.</w:t>
      </w:r>
    </w:p>
    <w:p w14:paraId="770E9A76" w14:textId="77777777" w:rsidR="007A076E" w:rsidRPr="00361B8B" w:rsidRDefault="007A076E" w:rsidP="00274A27">
      <w:pPr>
        <w:spacing w:line="276" w:lineRule="auto"/>
        <w:jc w:val="both"/>
        <w:rPr>
          <w:rFonts w:cs="Arial"/>
        </w:rPr>
      </w:pPr>
    </w:p>
    <w:p w14:paraId="5DA0B820" w14:textId="75EED352" w:rsidR="00EF5804" w:rsidRPr="00E34457" w:rsidRDefault="00A80C42" w:rsidP="00274A27">
      <w:pPr>
        <w:spacing w:line="276" w:lineRule="auto"/>
        <w:jc w:val="both"/>
        <w:rPr>
          <w:rFonts w:cs="Arial"/>
          <w:b/>
          <w:sz w:val="28"/>
          <w:szCs w:val="28"/>
        </w:rPr>
      </w:pPr>
      <w:r>
        <w:rPr>
          <w:rFonts w:cs="Arial"/>
          <w:b/>
          <w:sz w:val="28"/>
          <w:szCs w:val="28"/>
        </w:rPr>
        <w:t>TENDER LANGUAGE</w:t>
      </w:r>
    </w:p>
    <w:p w14:paraId="07DFCA50" w14:textId="77777777" w:rsidR="00A80C42" w:rsidRDefault="00A80C42" w:rsidP="00274A27">
      <w:pPr>
        <w:spacing w:line="276" w:lineRule="auto"/>
        <w:jc w:val="both"/>
        <w:rPr>
          <w:rFonts w:cs="Arial"/>
        </w:rPr>
      </w:pPr>
    </w:p>
    <w:p w14:paraId="03670063" w14:textId="3933B3C3" w:rsidR="00E03AB6" w:rsidRDefault="00EF5804" w:rsidP="00A80C42">
      <w:pPr>
        <w:spacing w:line="276" w:lineRule="auto"/>
        <w:jc w:val="both"/>
        <w:rPr>
          <w:rFonts w:cs="Arial"/>
        </w:rPr>
      </w:pPr>
      <w:r w:rsidRPr="00361B8B">
        <w:rPr>
          <w:rFonts w:cs="Arial"/>
        </w:rPr>
        <w:t xml:space="preserve">The Proposal must be prepared in </w:t>
      </w:r>
      <w:r w:rsidR="004A34D0" w:rsidRPr="00361B8B">
        <w:rPr>
          <w:rFonts w:cs="Arial"/>
        </w:rPr>
        <w:t xml:space="preserve">English. </w:t>
      </w:r>
      <w:r w:rsidR="00E03AB6" w:rsidRPr="00361B8B">
        <w:rPr>
          <w:rFonts w:cs="Arial"/>
        </w:rPr>
        <w:t xml:space="preserve">The documents obtained from the officials, can be in Georgian. Also, the questions and the answers can be in Georgian or bilingual. </w:t>
      </w:r>
    </w:p>
    <w:p w14:paraId="0F8423A6" w14:textId="5B5848AE" w:rsidR="00A80C42" w:rsidRDefault="00A80C42" w:rsidP="00A80C42">
      <w:pPr>
        <w:spacing w:line="276" w:lineRule="auto"/>
        <w:jc w:val="both"/>
        <w:rPr>
          <w:rFonts w:cs="Arial"/>
        </w:rPr>
      </w:pPr>
    </w:p>
    <w:p w14:paraId="64E92FF3" w14:textId="77777777" w:rsidR="00A80C42" w:rsidRPr="00361B8B" w:rsidRDefault="00A80C42" w:rsidP="00274A27">
      <w:pPr>
        <w:spacing w:line="276" w:lineRule="auto"/>
        <w:jc w:val="both"/>
        <w:rPr>
          <w:rFonts w:cs="Arial"/>
        </w:rPr>
      </w:pPr>
    </w:p>
    <w:p w14:paraId="21868D57" w14:textId="77777777" w:rsidR="00B40DDA" w:rsidRPr="00361B8B" w:rsidRDefault="00B40DDA" w:rsidP="00274A27">
      <w:pPr>
        <w:spacing w:line="276" w:lineRule="auto"/>
        <w:jc w:val="both"/>
        <w:rPr>
          <w:rFonts w:cs="Arial"/>
        </w:rPr>
      </w:pPr>
    </w:p>
    <w:p w14:paraId="228B65EA" w14:textId="2F610CC5" w:rsidR="00A81C0A" w:rsidRPr="003D09B6" w:rsidRDefault="00EF5804" w:rsidP="00A80C42">
      <w:pPr>
        <w:pBdr>
          <w:top w:val="single" w:sz="4" w:space="4" w:color="000000"/>
          <w:left w:val="single" w:sz="4" w:space="4" w:color="000000"/>
          <w:bottom w:val="single" w:sz="4" w:space="8" w:color="000000"/>
          <w:right w:val="single" w:sz="4" w:space="4" w:color="000000"/>
        </w:pBdr>
        <w:spacing w:line="276" w:lineRule="auto"/>
        <w:jc w:val="both"/>
        <w:rPr>
          <w:rFonts w:cs="Arial"/>
          <w:b/>
          <w:bCs/>
        </w:rPr>
      </w:pPr>
      <w:r w:rsidRPr="00361B8B">
        <w:rPr>
          <w:rFonts w:cs="Arial"/>
          <w:b/>
          <w:bCs/>
        </w:rPr>
        <w:t xml:space="preserve">NOTE: </w:t>
      </w:r>
      <w:r w:rsidR="00E65B56" w:rsidRPr="00361B8B">
        <w:rPr>
          <w:rFonts w:cs="Arial"/>
          <w:b/>
          <w:bCs/>
        </w:rPr>
        <w:t>FINCA Bank Georgia</w:t>
      </w:r>
      <w:r w:rsidRPr="00361B8B">
        <w:rPr>
          <w:rFonts w:cs="Arial"/>
          <w:b/>
          <w:bCs/>
        </w:rPr>
        <w:t xml:space="preserve"> reserves the right to discontinue the Tender Process at any time with no financial compensation</w:t>
      </w:r>
      <w:r w:rsidR="00F7653B">
        <w:rPr>
          <w:rFonts w:ascii="Sylfaen" w:hAnsi="Sylfaen" w:cs="Arial"/>
          <w:b/>
          <w:bCs/>
          <w:lang w:val="ka-GE"/>
        </w:rPr>
        <w:t xml:space="preserve"> </w:t>
      </w:r>
      <w:r w:rsidRPr="00361B8B">
        <w:rPr>
          <w:rFonts w:cs="Arial"/>
          <w:b/>
          <w:bCs/>
        </w:rPr>
        <w:t>and m</w:t>
      </w:r>
      <w:r w:rsidR="00016926" w:rsidRPr="00361B8B">
        <w:rPr>
          <w:rFonts w:cs="Arial"/>
          <w:b/>
          <w:bCs/>
        </w:rPr>
        <w:t>akes no commitment that this pro</w:t>
      </w:r>
      <w:r w:rsidRPr="00361B8B">
        <w:rPr>
          <w:rFonts w:cs="Arial"/>
          <w:b/>
          <w:bCs/>
        </w:rPr>
        <w:t xml:space="preserve">cess will result in a business transaction with one or more third parties. </w:t>
      </w:r>
    </w:p>
    <w:sectPr w:rsidR="00A81C0A" w:rsidRPr="003D09B6" w:rsidSect="004838E3">
      <w:footerReference w:type="default" r:id="rId11"/>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5816" w14:textId="77777777" w:rsidR="00444818" w:rsidRDefault="00444818">
      <w:r>
        <w:separator/>
      </w:r>
    </w:p>
  </w:endnote>
  <w:endnote w:type="continuationSeparator" w:id="0">
    <w:p w14:paraId="34E53B98" w14:textId="77777777" w:rsidR="00444818" w:rsidRDefault="0044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1374"/>
      <w:docPartObj>
        <w:docPartGallery w:val="Page Numbers (Bottom of Page)"/>
        <w:docPartUnique/>
      </w:docPartObj>
    </w:sdtPr>
    <w:sdtEndPr/>
    <w:sdtContent>
      <w:sdt>
        <w:sdtPr>
          <w:id w:val="-1769616900"/>
          <w:docPartObj>
            <w:docPartGallery w:val="Page Numbers (Top of Page)"/>
            <w:docPartUnique/>
          </w:docPartObj>
        </w:sdtPr>
        <w:sdtEndPr/>
        <w:sdtContent>
          <w:p w14:paraId="532F9FB7" w14:textId="77777777" w:rsidR="00E2114B" w:rsidRPr="004838E3" w:rsidRDefault="00E2114B">
            <w:pPr>
              <w:pStyle w:val="Footer"/>
              <w:jc w:val="right"/>
            </w:pPr>
            <w:r w:rsidRPr="004838E3">
              <w:t xml:space="preserve">Page </w:t>
            </w:r>
            <w:r w:rsidRPr="004838E3">
              <w:rPr>
                <w:bCs/>
                <w:sz w:val="24"/>
              </w:rPr>
              <w:fldChar w:fldCharType="begin"/>
            </w:r>
            <w:r w:rsidRPr="004838E3">
              <w:rPr>
                <w:bCs/>
              </w:rPr>
              <w:instrText xml:space="preserve"> PAGE </w:instrText>
            </w:r>
            <w:r w:rsidRPr="004838E3">
              <w:rPr>
                <w:bCs/>
                <w:sz w:val="24"/>
              </w:rPr>
              <w:fldChar w:fldCharType="separate"/>
            </w:r>
            <w:r w:rsidR="00B45D61">
              <w:rPr>
                <w:bCs/>
                <w:noProof/>
              </w:rPr>
              <w:t>2</w:t>
            </w:r>
            <w:r w:rsidRPr="004838E3">
              <w:rPr>
                <w:bCs/>
                <w:sz w:val="24"/>
              </w:rPr>
              <w:fldChar w:fldCharType="end"/>
            </w:r>
            <w:r w:rsidRPr="004838E3">
              <w:t xml:space="preserve"> of </w:t>
            </w:r>
            <w:r w:rsidRPr="004838E3">
              <w:rPr>
                <w:bCs/>
                <w:sz w:val="24"/>
              </w:rPr>
              <w:fldChar w:fldCharType="begin"/>
            </w:r>
            <w:r w:rsidRPr="004838E3">
              <w:rPr>
                <w:bCs/>
              </w:rPr>
              <w:instrText xml:space="preserve"> NUMPAGES  </w:instrText>
            </w:r>
            <w:r w:rsidRPr="004838E3">
              <w:rPr>
                <w:bCs/>
                <w:sz w:val="24"/>
              </w:rPr>
              <w:fldChar w:fldCharType="separate"/>
            </w:r>
            <w:r w:rsidR="00B45D61">
              <w:rPr>
                <w:bCs/>
                <w:noProof/>
              </w:rPr>
              <w:t>3</w:t>
            </w:r>
            <w:r w:rsidRPr="004838E3">
              <w:rPr>
                <w:bCs/>
                <w:sz w:val="24"/>
              </w:rPr>
              <w:fldChar w:fldCharType="end"/>
            </w:r>
          </w:p>
        </w:sdtContent>
      </w:sdt>
    </w:sdtContent>
  </w:sdt>
  <w:p w14:paraId="650F2438" w14:textId="77777777" w:rsidR="00E2114B" w:rsidRPr="00012F61" w:rsidRDefault="00E34457">
    <w:pPr>
      <w:pStyle w:val="Footer"/>
      <w:rPr>
        <w:color w:val="FF0000"/>
        <w:sz w:val="22"/>
        <w:szCs w:val="22"/>
      </w:rPr>
    </w:pPr>
    <w:r>
      <w:rPr>
        <w:color w:val="FF0000"/>
        <w:sz w:val="22"/>
        <w:szCs w:val="22"/>
      </w:rPr>
      <w:t>PUBLIC / TENDER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95AD" w14:textId="77777777" w:rsidR="00444818" w:rsidRDefault="00444818">
      <w:r>
        <w:separator/>
      </w:r>
    </w:p>
  </w:footnote>
  <w:footnote w:type="continuationSeparator" w:id="0">
    <w:p w14:paraId="64B2B5E6" w14:textId="77777777" w:rsidR="00444818" w:rsidRDefault="0044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0544555"/>
    <w:multiLevelType w:val="hybridMultilevel"/>
    <w:tmpl w:val="02189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83E20"/>
    <w:multiLevelType w:val="hybridMultilevel"/>
    <w:tmpl w:val="7B02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13012"/>
    <w:multiLevelType w:val="multilevel"/>
    <w:tmpl w:val="22940B64"/>
    <w:lvl w:ilvl="0">
      <w:start w:val="1"/>
      <w:numFmt w:val="decimal"/>
      <w:pStyle w:val="Heading1"/>
      <w:lvlText w:val="%1"/>
      <w:lvlJc w:val="left"/>
      <w:pPr>
        <w:tabs>
          <w:tab w:val="num" w:pos="1062"/>
        </w:tabs>
        <w:ind w:left="106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63C2103"/>
    <w:multiLevelType w:val="hybridMultilevel"/>
    <w:tmpl w:val="5BA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09445A"/>
    <w:multiLevelType w:val="hybridMultilevel"/>
    <w:tmpl w:val="EB7217C2"/>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23CBD"/>
    <w:multiLevelType w:val="hybridMultilevel"/>
    <w:tmpl w:val="739E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478C2"/>
    <w:multiLevelType w:val="hybridMultilevel"/>
    <w:tmpl w:val="102A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E4E02"/>
    <w:multiLevelType w:val="hybridMultilevel"/>
    <w:tmpl w:val="AA6EE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46F3D"/>
    <w:multiLevelType w:val="hybridMultilevel"/>
    <w:tmpl w:val="3482BDDA"/>
    <w:lvl w:ilvl="0" w:tplc="0409000F">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E4E66"/>
    <w:multiLevelType w:val="hybridMultilevel"/>
    <w:tmpl w:val="458C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31E50D1"/>
    <w:multiLevelType w:val="hybridMultilevel"/>
    <w:tmpl w:val="17BA998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4595539"/>
    <w:multiLevelType w:val="hybridMultilevel"/>
    <w:tmpl w:val="75B65976"/>
    <w:lvl w:ilvl="0" w:tplc="7708F9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17E9C"/>
    <w:multiLevelType w:val="hybridMultilevel"/>
    <w:tmpl w:val="1B06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4"/>
  </w:num>
  <w:num w:numId="4">
    <w:abstractNumId w:val="10"/>
  </w:num>
  <w:num w:numId="5">
    <w:abstractNumId w:val="2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2"/>
  </w:num>
  <w:num w:numId="10">
    <w:abstractNumId w:val="22"/>
  </w:num>
  <w:num w:numId="11">
    <w:abstractNumId w:val="13"/>
  </w:num>
  <w:num w:numId="12">
    <w:abstractNumId w:val="9"/>
  </w:num>
  <w:num w:numId="13">
    <w:abstractNumId w:val="19"/>
  </w:num>
  <w:num w:numId="14">
    <w:abstractNumId w:val="24"/>
  </w:num>
  <w:num w:numId="15">
    <w:abstractNumId w:val="17"/>
  </w:num>
  <w:num w:numId="16">
    <w:abstractNumId w:val="21"/>
  </w:num>
  <w:num w:numId="17">
    <w:abstractNumId w:val="16"/>
  </w:num>
  <w:num w:numId="18">
    <w:abstractNumId w:val="18"/>
  </w:num>
  <w:num w:numId="19">
    <w:abstractNumId w:val="25"/>
  </w:num>
  <w:num w:numId="20">
    <w:abstractNumId w:val="11"/>
  </w:num>
  <w:num w:numId="21">
    <w:abstractNumId w:val="15"/>
  </w:num>
  <w:num w:numId="22">
    <w:abstractNumId w:val="14"/>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FB"/>
    <w:rsid w:val="00001DBE"/>
    <w:rsid w:val="00012F61"/>
    <w:rsid w:val="00013294"/>
    <w:rsid w:val="00016926"/>
    <w:rsid w:val="000171FF"/>
    <w:rsid w:val="000202BB"/>
    <w:rsid w:val="00024903"/>
    <w:rsid w:val="00035FB3"/>
    <w:rsid w:val="00040D3B"/>
    <w:rsid w:val="000421B7"/>
    <w:rsid w:val="00047E94"/>
    <w:rsid w:val="00050A1A"/>
    <w:rsid w:val="00053012"/>
    <w:rsid w:val="00066C42"/>
    <w:rsid w:val="000739D1"/>
    <w:rsid w:val="000914A2"/>
    <w:rsid w:val="000A232D"/>
    <w:rsid w:val="000A4BA9"/>
    <w:rsid w:val="000A758F"/>
    <w:rsid w:val="000A7AD3"/>
    <w:rsid w:val="000B039C"/>
    <w:rsid w:val="000B0924"/>
    <w:rsid w:val="000C01DE"/>
    <w:rsid w:val="000D46B5"/>
    <w:rsid w:val="000D4C9E"/>
    <w:rsid w:val="000D4F04"/>
    <w:rsid w:val="000E0009"/>
    <w:rsid w:val="000E5396"/>
    <w:rsid w:val="000E6685"/>
    <w:rsid w:val="000F4747"/>
    <w:rsid w:val="001008A7"/>
    <w:rsid w:val="001014A6"/>
    <w:rsid w:val="00106FDC"/>
    <w:rsid w:val="001309EB"/>
    <w:rsid w:val="00130FBD"/>
    <w:rsid w:val="00133FED"/>
    <w:rsid w:val="00141E60"/>
    <w:rsid w:val="00141F92"/>
    <w:rsid w:val="0014218B"/>
    <w:rsid w:val="00147B10"/>
    <w:rsid w:val="00151454"/>
    <w:rsid w:val="001514B5"/>
    <w:rsid w:val="0015339E"/>
    <w:rsid w:val="00167BAB"/>
    <w:rsid w:val="00181AEF"/>
    <w:rsid w:val="00191630"/>
    <w:rsid w:val="001A26FF"/>
    <w:rsid w:val="001B5C67"/>
    <w:rsid w:val="001C0089"/>
    <w:rsid w:val="001C0FE6"/>
    <w:rsid w:val="001C2A2E"/>
    <w:rsid w:val="001D5E5A"/>
    <w:rsid w:val="001E00F5"/>
    <w:rsid w:val="001F1BFE"/>
    <w:rsid w:val="001F4F08"/>
    <w:rsid w:val="0020005C"/>
    <w:rsid w:val="00200733"/>
    <w:rsid w:val="00202057"/>
    <w:rsid w:val="00203EE4"/>
    <w:rsid w:val="002056FC"/>
    <w:rsid w:val="00215A09"/>
    <w:rsid w:val="0022687A"/>
    <w:rsid w:val="00226DFB"/>
    <w:rsid w:val="002379E7"/>
    <w:rsid w:val="0024146E"/>
    <w:rsid w:val="002446F1"/>
    <w:rsid w:val="002511B4"/>
    <w:rsid w:val="00256B96"/>
    <w:rsid w:val="002616E2"/>
    <w:rsid w:val="002626C8"/>
    <w:rsid w:val="00263FA6"/>
    <w:rsid w:val="0026744C"/>
    <w:rsid w:val="0026772C"/>
    <w:rsid w:val="00267BB5"/>
    <w:rsid w:val="00271FFD"/>
    <w:rsid w:val="0027247D"/>
    <w:rsid w:val="00274A27"/>
    <w:rsid w:val="002908DB"/>
    <w:rsid w:val="00293846"/>
    <w:rsid w:val="002957F8"/>
    <w:rsid w:val="002A2EBA"/>
    <w:rsid w:val="002B3D38"/>
    <w:rsid w:val="002C02A6"/>
    <w:rsid w:val="002C731F"/>
    <w:rsid w:val="002D1B55"/>
    <w:rsid w:val="002D331C"/>
    <w:rsid w:val="002D445E"/>
    <w:rsid w:val="002E1329"/>
    <w:rsid w:val="002F5B97"/>
    <w:rsid w:val="002F5EE6"/>
    <w:rsid w:val="00300DBB"/>
    <w:rsid w:val="00303937"/>
    <w:rsid w:val="00307931"/>
    <w:rsid w:val="003109B6"/>
    <w:rsid w:val="0031436A"/>
    <w:rsid w:val="00321126"/>
    <w:rsid w:val="00322841"/>
    <w:rsid w:val="00323E7F"/>
    <w:rsid w:val="00325667"/>
    <w:rsid w:val="00342D4F"/>
    <w:rsid w:val="00343076"/>
    <w:rsid w:val="0034388C"/>
    <w:rsid w:val="00344F98"/>
    <w:rsid w:val="00346981"/>
    <w:rsid w:val="00353359"/>
    <w:rsid w:val="0035413B"/>
    <w:rsid w:val="00361B8B"/>
    <w:rsid w:val="00371042"/>
    <w:rsid w:val="003747BF"/>
    <w:rsid w:val="0038319D"/>
    <w:rsid w:val="003904D4"/>
    <w:rsid w:val="003A16DC"/>
    <w:rsid w:val="003A5D27"/>
    <w:rsid w:val="003A6FEB"/>
    <w:rsid w:val="003B4026"/>
    <w:rsid w:val="003C08D6"/>
    <w:rsid w:val="003C1DF3"/>
    <w:rsid w:val="003C6321"/>
    <w:rsid w:val="003D09B6"/>
    <w:rsid w:val="003D1983"/>
    <w:rsid w:val="003D34BF"/>
    <w:rsid w:val="003E25F2"/>
    <w:rsid w:val="003E7447"/>
    <w:rsid w:val="003F191C"/>
    <w:rsid w:val="003F21FE"/>
    <w:rsid w:val="003F6F14"/>
    <w:rsid w:val="003F7C69"/>
    <w:rsid w:val="004044FE"/>
    <w:rsid w:val="0041257B"/>
    <w:rsid w:val="00437399"/>
    <w:rsid w:val="004437D0"/>
    <w:rsid w:val="00443948"/>
    <w:rsid w:val="004440E4"/>
    <w:rsid w:val="00444818"/>
    <w:rsid w:val="00451BA1"/>
    <w:rsid w:val="0046131E"/>
    <w:rsid w:val="00467A9B"/>
    <w:rsid w:val="00470767"/>
    <w:rsid w:val="00471936"/>
    <w:rsid w:val="00473225"/>
    <w:rsid w:val="00475A66"/>
    <w:rsid w:val="00477C6F"/>
    <w:rsid w:val="004838E3"/>
    <w:rsid w:val="00484FEE"/>
    <w:rsid w:val="0048706F"/>
    <w:rsid w:val="004953E5"/>
    <w:rsid w:val="004968CB"/>
    <w:rsid w:val="004A1BD1"/>
    <w:rsid w:val="004A2E60"/>
    <w:rsid w:val="004A34D0"/>
    <w:rsid w:val="004A535F"/>
    <w:rsid w:val="004B4355"/>
    <w:rsid w:val="004B6057"/>
    <w:rsid w:val="004C332B"/>
    <w:rsid w:val="004C5154"/>
    <w:rsid w:val="004C51EF"/>
    <w:rsid w:val="004C6309"/>
    <w:rsid w:val="004C6C3A"/>
    <w:rsid w:val="004D1F69"/>
    <w:rsid w:val="004D5021"/>
    <w:rsid w:val="004D5D1C"/>
    <w:rsid w:val="004E6D4D"/>
    <w:rsid w:val="004F1582"/>
    <w:rsid w:val="004F1B83"/>
    <w:rsid w:val="004F2A8D"/>
    <w:rsid w:val="00504370"/>
    <w:rsid w:val="00507FDE"/>
    <w:rsid w:val="00514686"/>
    <w:rsid w:val="005146D7"/>
    <w:rsid w:val="00515DF0"/>
    <w:rsid w:val="005319C0"/>
    <w:rsid w:val="00535739"/>
    <w:rsid w:val="005425AC"/>
    <w:rsid w:val="00547A81"/>
    <w:rsid w:val="00551D64"/>
    <w:rsid w:val="00563628"/>
    <w:rsid w:val="00563760"/>
    <w:rsid w:val="00572270"/>
    <w:rsid w:val="005756F0"/>
    <w:rsid w:val="00586B24"/>
    <w:rsid w:val="005A4F33"/>
    <w:rsid w:val="005A5E58"/>
    <w:rsid w:val="005B32D8"/>
    <w:rsid w:val="005B5447"/>
    <w:rsid w:val="005C3934"/>
    <w:rsid w:val="005D13EB"/>
    <w:rsid w:val="005D1659"/>
    <w:rsid w:val="005F413C"/>
    <w:rsid w:val="005F50D4"/>
    <w:rsid w:val="006034AC"/>
    <w:rsid w:val="006137D1"/>
    <w:rsid w:val="00617D6C"/>
    <w:rsid w:val="00623907"/>
    <w:rsid w:val="00635AE8"/>
    <w:rsid w:val="00636B53"/>
    <w:rsid w:val="00637489"/>
    <w:rsid w:val="0064519E"/>
    <w:rsid w:val="006475AC"/>
    <w:rsid w:val="00656BA8"/>
    <w:rsid w:val="00675340"/>
    <w:rsid w:val="00676A89"/>
    <w:rsid w:val="00690759"/>
    <w:rsid w:val="00693A45"/>
    <w:rsid w:val="006977C5"/>
    <w:rsid w:val="006A6149"/>
    <w:rsid w:val="006B14D1"/>
    <w:rsid w:val="006B5519"/>
    <w:rsid w:val="006B72F6"/>
    <w:rsid w:val="006D0206"/>
    <w:rsid w:val="006D232D"/>
    <w:rsid w:val="006D7D45"/>
    <w:rsid w:val="006E04F5"/>
    <w:rsid w:val="006E4050"/>
    <w:rsid w:val="006E7ED2"/>
    <w:rsid w:val="0072006E"/>
    <w:rsid w:val="00727D3F"/>
    <w:rsid w:val="00727EE0"/>
    <w:rsid w:val="007308EA"/>
    <w:rsid w:val="007339E1"/>
    <w:rsid w:val="007342B4"/>
    <w:rsid w:val="0074030E"/>
    <w:rsid w:val="007755A6"/>
    <w:rsid w:val="007921D3"/>
    <w:rsid w:val="00792AD2"/>
    <w:rsid w:val="00793A7A"/>
    <w:rsid w:val="007A076E"/>
    <w:rsid w:val="007A1D30"/>
    <w:rsid w:val="007A2495"/>
    <w:rsid w:val="007B0E3F"/>
    <w:rsid w:val="007B6C56"/>
    <w:rsid w:val="007C18EF"/>
    <w:rsid w:val="007D1904"/>
    <w:rsid w:val="007D3B33"/>
    <w:rsid w:val="007D59CD"/>
    <w:rsid w:val="007E2AF4"/>
    <w:rsid w:val="007E47E5"/>
    <w:rsid w:val="007F02A3"/>
    <w:rsid w:val="007F11EB"/>
    <w:rsid w:val="007F3913"/>
    <w:rsid w:val="007F7AFA"/>
    <w:rsid w:val="00801D81"/>
    <w:rsid w:val="008213E8"/>
    <w:rsid w:val="00823FEB"/>
    <w:rsid w:val="008278BA"/>
    <w:rsid w:val="00827AC1"/>
    <w:rsid w:val="008366FD"/>
    <w:rsid w:val="00846BDB"/>
    <w:rsid w:val="00851D60"/>
    <w:rsid w:val="00852760"/>
    <w:rsid w:val="00866512"/>
    <w:rsid w:val="0088130A"/>
    <w:rsid w:val="00884611"/>
    <w:rsid w:val="00892366"/>
    <w:rsid w:val="008A701D"/>
    <w:rsid w:val="008B591E"/>
    <w:rsid w:val="008B6ACB"/>
    <w:rsid w:val="008C5F2E"/>
    <w:rsid w:val="008D3442"/>
    <w:rsid w:val="008E057C"/>
    <w:rsid w:val="008F1BC1"/>
    <w:rsid w:val="008F322C"/>
    <w:rsid w:val="008F4CA1"/>
    <w:rsid w:val="00904943"/>
    <w:rsid w:val="00906842"/>
    <w:rsid w:val="009112FD"/>
    <w:rsid w:val="00911DA1"/>
    <w:rsid w:val="00912AB2"/>
    <w:rsid w:val="0091424E"/>
    <w:rsid w:val="009209C7"/>
    <w:rsid w:val="00922FAD"/>
    <w:rsid w:val="0092730B"/>
    <w:rsid w:val="00927BAF"/>
    <w:rsid w:val="00934B1E"/>
    <w:rsid w:val="00950AEB"/>
    <w:rsid w:val="00964550"/>
    <w:rsid w:val="009673FF"/>
    <w:rsid w:val="009708DC"/>
    <w:rsid w:val="009717B7"/>
    <w:rsid w:val="009768D4"/>
    <w:rsid w:val="00976A73"/>
    <w:rsid w:val="00976DB8"/>
    <w:rsid w:val="00980115"/>
    <w:rsid w:val="0099129F"/>
    <w:rsid w:val="00996032"/>
    <w:rsid w:val="009A051C"/>
    <w:rsid w:val="009A1009"/>
    <w:rsid w:val="009A24B0"/>
    <w:rsid w:val="009A2C7C"/>
    <w:rsid w:val="009A4537"/>
    <w:rsid w:val="009A7365"/>
    <w:rsid w:val="009B03FB"/>
    <w:rsid w:val="009B099F"/>
    <w:rsid w:val="009B09E6"/>
    <w:rsid w:val="009B3737"/>
    <w:rsid w:val="009B71A8"/>
    <w:rsid w:val="009C19EF"/>
    <w:rsid w:val="009C603E"/>
    <w:rsid w:val="009C6064"/>
    <w:rsid w:val="009D130B"/>
    <w:rsid w:val="009D59F3"/>
    <w:rsid w:val="009E6AE1"/>
    <w:rsid w:val="009F3921"/>
    <w:rsid w:val="009F5905"/>
    <w:rsid w:val="009F6FC5"/>
    <w:rsid w:val="00A01F0B"/>
    <w:rsid w:val="00A0794E"/>
    <w:rsid w:val="00A14EFB"/>
    <w:rsid w:val="00A250F6"/>
    <w:rsid w:val="00A322BC"/>
    <w:rsid w:val="00A465BF"/>
    <w:rsid w:val="00A47B67"/>
    <w:rsid w:val="00A638FE"/>
    <w:rsid w:val="00A6602E"/>
    <w:rsid w:val="00A67DA0"/>
    <w:rsid w:val="00A80C42"/>
    <w:rsid w:val="00A81C0A"/>
    <w:rsid w:val="00AA08FA"/>
    <w:rsid w:val="00AA1000"/>
    <w:rsid w:val="00AA46B8"/>
    <w:rsid w:val="00AB5964"/>
    <w:rsid w:val="00AC26A1"/>
    <w:rsid w:val="00AC3D0E"/>
    <w:rsid w:val="00AC691F"/>
    <w:rsid w:val="00AD2DB1"/>
    <w:rsid w:val="00AE2597"/>
    <w:rsid w:val="00AE48E9"/>
    <w:rsid w:val="00AF6416"/>
    <w:rsid w:val="00B01D96"/>
    <w:rsid w:val="00B069F0"/>
    <w:rsid w:val="00B07D15"/>
    <w:rsid w:val="00B11D42"/>
    <w:rsid w:val="00B2163C"/>
    <w:rsid w:val="00B224EC"/>
    <w:rsid w:val="00B24408"/>
    <w:rsid w:val="00B24A22"/>
    <w:rsid w:val="00B32142"/>
    <w:rsid w:val="00B32BED"/>
    <w:rsid w:val="00B40DDA"/>
    <w:rsid w:val="00B42637"/>
    <w:rsid w:val="00B45D61"/>
    <w:rsid w:val="00B5472D"/>
    <w:rsid w:val="00B60279"/>
    <w:rsid w:val="00B65F8F"/>
    <w:rsid w:val="00B67FD4"/>
    <w:rsid w:val="00B802F0"/>
    <w:rsid w:val="00B827A6"/>
    <w:rsid w:val="00B84CAA"/>
    <w:rsid w:val="00B91977"/>
    <w:rsid w:val="00B9463A"/>
    <w:rsid w:val="00BA1B3B"/>
    <w:rsid w:val="00BB0087"/>
    <w:rsid w:val="00BB0F0F"/>
    <w:rsid w:val="00BB1CF4"/>
    <w:rsid w:val="00BB2B0E"/>
    <w:rsid w:val="00BB67EF"/>
    <w:rsid w:val="00BC095A"/>
    <w:rsid w:val="00BC321C"/>
    <w:rsid w:val="00BC4344"/>
    <w:rsid w:val="00BD7AD3"/>
    <w:rsid w:val="00BE21E7"/>
    <w:rsid w:val="00BE69AD"/>
    <w:rsid w:val="00BF135B"/>
    <w:rsid w:val="00BF1C10"/>
    <w:rsid w:val="00BF6456"/>
    <w:rsid w:val="00C1536C"/>
    <w:rsid w:val="00C15447"/>
    <w:rsid w:val="00C25EDB"/>
    <w:rsid w:val="00C34FD3"/>
    <w:rsid w:val="00C369A8"/>
    <w:rsid w:val="00C41414"/>
    <w:rsid w:val="00C4149B"/>
    <w:rsid w:val="00C4567A"/>
    <w:rsid w:val="00C50B07"/>
    <w:rsid w:val="00C50D7D"/>
    <w:rsid w:val="00C51D67"/>
    <w:rsid w:val="00C52822"/>
    <w:rsid w:val="00C53288"/>
    <w:rsid w:val="00C61ACB"/>
    <w:rsid w:val="00C63F6E"/>
    <w:rsid w:val="00C670DC"/>
    <w:rsid w:val="00C70C4E"/>
    <w:rsid w:val="00C70EEA"/>
    <w:rsid w:val="00C73A24"/>
    <w:rsid w:val="00C73A31"/>
    <w:rsid w:val="00C80015"/>
    <w:rsid w:val="00C829DE"/>
    <w:rsid w:val="00C84B1E"/>
    <w:rsid w:val="00C93B5A"/>
    <w:rsid w:val="00C953FB"/>
    <w:rsid w:val="00C973D3"/>
    <w:rsid w:val="00CA59C9"/>
    <w:rsid w:val="00CB0A5B"/>
    <w:rsid w:val="00CC6D0E"/>
    <w:rsid w:val="00CD4C2B"/>
    <w:rsid w:val="00CD6603"/>
    <w:rsid w:val="00CF2137"/>
    <w:rsid w:val="00CF27EF"/>
    <w:rsid w:val="00CF4598"/>
    <w:rsid w:val="00D012BA"/>
    <w:rsid w:val="00D14DFA"/>
    <w:rsid w:val="00D17049"/>
    <w:rsid w:val="00D23079"/>
    <w:rsid w:val="00D239A3"/>
    <w:rsid w:val="00D43560"/>
    <w:rsid w:val="00D5042F"/>
    <w:rsid w:val="00D5240A"/>
    <w:rsid w:val="00D56220"/>
    <w:rsid w:val="00D57343"/>
    <w:rsid w:val="00D60D81"/>
    <w:rsid w:val="00D613C8"/>
    <w:rsid w:val="00D77136"/>
    <w:rsid w:val="00D83347"/>
    <w:rsid w:val="00D852E1"/>
    <w:rsid w:val="00D869C7"/>
    <w:rsid w:val="00D9059B"/>
    <w:rsid w:val="00DA1868"/>
    <w:rsid w:val="00DB2036"/>
    <w:rsid w:val="00DB35EE"/>
    <w:rsid w:val="00DC1A5E"/>
    <w:rsid w:val="00DC1A92"/>
    <w:rsid w:val="00DE272E"/>
    <w:rsid w:val="00DE5E7A"/>
    <w:rsid w:val="00DE6A6D"/>
    <w:rsid w:val="00DF5DEC"/>
    <w:rsid w:val="00DF6EC0"/>
    <w:rsid w:val="00E010DE"/>
    <w:rsid w:val="00E03AB6"/>
    <w:rsid w:val="00E14E4A"/>
    <w:rsid w:val="00E2016A"/>
    <w:rsid w:val="00E2114B"/>
    <w:rsid w:val="00E219D6"/>
    <w:rsid w:val="00E24A1F"/>
    <w:rsid w:val="00E255DB"/>
    <w:rsid w:val="00E2766B"/>
    <w:rsid w:val="00E27CAB"/>
    <w:rsid w:val="00E30961"/>
    <w:rsid w:val="00E34457"/>
    <w:rsid w:val="00E47FEB"/>
    <w:rsid w:val="00E57151"/>
    <w:rsid w:val="00E622A0"/>
    <w:rsid w:val="00E65B56"/>
    <w:rsid w:val="00E67931"/>
    <w:rsid w:val="00E67E89"/>
    <w:rsid w:val="00E87D04"/>
    <w:rsid w:val="00E95594"/>
    <w:rsid w:val="00EB0671"/>
    <w:rsid w:val="00EC16A3"/>
    <w:rsid w:val="00EC2C06"/>
    <w:rsid w:val="00EC4795"/>
    <w:rsid w:val="00ED008A"/>
    <w:rsid w:val="00ED0732"/>
    <w:rsid w:val="00ED29EE"/>
    <w:rsid w:val="00EE3464"/>
    <w:rsid w:val="00EF1F4F"/>
    <w:rsid w:val="00EF5804"/>
    <w:rsid w:val="00F027A1"/>
    <w:rsid w:val="00F0421F"/>
    <w:rsid w:val="00F06654"/>
    <w:rsid w:val="00F127DE"/>
    <w:rsid w:val="00F12BA8"/>
    <w:rsid w:val="00F229A5"/>
    <w:rsid w:val="00F328A9"/>
    <w:rsid w:val="00F4246E"/>
    <w:rsid w:val="00F44F39"/>
    <w:rsid w:val="00F542E6"/>
    <w:rsid w:val="00F609AF"/>
    <w:rsid w:val="00F62581"/>
    <w:rsid w:val="00F63756"/>
    <w:rsid w:val="00F7408F"/>
    <w:rsid w:val="00F7653B"/>
    <w:rsid w:val="00F77CC7"/>
    <w:rsid w:val="00F80C33"/>
    <w:rsid w:val="00F82DC4"/>
    <w:rsid w:val="00F84C6B"/>
    <w:rsid w:val="00F84D47"/>
    <w:rsid w:val="00F90FCC"/>
    <w:rsid w:val="00F93BBB"/>
    <w:rsid w:val="00FA2EC0"/>
    <w:rsid w:val="00FA69B3"/>
    <w:rsid w:val="00FB4C41"/>
    <w:rsid w:val="00FC6302"/>
    <w:rsid w:val="00FC7C1E"/>
    <w:rsid w:val="00FD18CC"/>
    <w:rsid w:val="00FE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C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4"/>
      </w:numPr>
      <w:tabs>
        <w:tab w:val="clear" w:pos="1062"/>
        <w:tab w:val="num" w:pos="432"/>
      </w:tabs>
      <w:suppressAutoHyphens/>
      <w:spacing w:after="60"/>
      <w:ind w:left="432"/>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4"/>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4"/>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4"/>
      </w:numPr>
      <w:spacing w:before="240" w:after="60"/>
      <w:outlineLvl w:val="3"/>
    </w:pPr>
    <w:rPr>
      <w:b/>
      <w:bCs/>
      <w:sz w:val="16"/>
      <w:szCs w:val="28"/>
    </w:rPr>
  </w:style>
  <w:style w:type="paragraph" w:styleId="Heading5">
    <w:name w:val="heading 5"/>
    <w:basedOn w:val="Normal"/>
    <w:next w:val="Normal"/>
    <w:qFormat/>
    <w:rsid w:val="009B03FB"/>
    <w:pPr>
      <w:numPr>
        <w:ilvl w:val="4"/>
        <w:numId w:val="4"/>
      </w:numPr>
      <w:spacing w:before="240" w:after="60"/>
      <w:outlineLvl w:val="4"/>
    </w:pPr>
    <w:rPr>
      <w:b/>
      <w:bCs/>
      <w:i/>
      <w:iCs/>
      <w:sz w:val="26"/>
      <w:szCs w:val="26"/>
    </w:rPr>
  </w:style>
  <w:style w:type="paragraph" w:styleId="Heading6">
    <w:name w:val="heading 6"/>
    <w:basedOn w:val="Normal"/>
    <w:next w:val="Normal"/>
    <w:qFormat/>
    <w:rsid w:val="009B03F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link w:val="HeaderChar"/>
    <w:uiPriority w:val="99"/>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uiPriority w:val="99"/>
    <w:rsid w:val="009B03FB"/>
    <w:pPr>
      <w:tabs>
        <w:tab w:val="center" w:pos="4536"/>
        <w:tab w:val="right" w:pos="9072"/>
      </w:tabs>
      <w:suppressAutoHyphens/>
    </w:pPr>
    <w:rPr>
      <w:lang w:eastAsia="ar-SA"/>
    </w:rPr>
  </w:style>
  <w:style w:type="character" w:customStyle="1" w:styleId="FooterChar">
    <w:name w:val="Footer Char"/>
    <w:basedOn w:val="DefaultParagraphFont"/>
    <w:link w:val="Footer"/>
    <w:uiPriority w:val="99"/>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1014A6"/>
    <w:pPr>
      <w:ind w:left="720"/>
      <w:contextualSpacing/>
    </w:pPr>
  </w:style>
  <w:style w:type="character" w:styleId="Emphasis">
    <w:name w:val="Emphasis"/>
    <w:basedOn w:val="DefaultParagraphFont"/>
    <w:qFormat/>
    <w:rsid w:val="0026772C"/>
    <w:rPr>
      <w:i/>
      <w:iCs/>
    </w:rPr>
  </w:style>
  <w:style w:type="character" w:customStyle="1" w:styleId="HeaderChar">
    <w:name w:val="Header Char"/>
    <w:basedOn w:val="DefaultParagraphFont"/>
    <w:link w:val="Header"/>
    <w:uiPriority w:val="99"/>
    <w:rsid w:val="004838E3"/>
    <w:rPr>
      <w:rFonts w:ascii="Arial" w:hAnsi="Arial"/>
      <w:szCs w:val="24"/>
      <w:lang w:eastAsia="ar-SA"/>
    </w:rPr>
  </w:style>
  <w:style w:type="character" w:styleId="UnresolvedMention">
    <w:name w:val="Unresolved Mention"/>
    <w:basedOn w:val="DefaultParagraphFont"/>
    <w:uiPriority w:val="99"/>
    <w:semiHidden/>
    <w:unhideWhenUsed/>
    <w:rsid w:val="0020005C"/>
    <w:rPr>
      <w:color w:val="605E5C"/>
      <w:shd w:val="clear" w:color="auto" w:fill="E1DFDD"/>
    </w:rPr>
  </w:style>
  <w:style w:type="paragraph" w:styleId="Revision">
    <w:name w:val="Revision"/>
    <w:hidden/>
    <w:uiPriority w:val="99"/>
    <w:semiHidden/>
    <w:rsid w:val="009A736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 w:id="313875021">
      <w:bodyDiv w:val="1"/>
      <w:marLeft w:val="0"/>
      <w:marRight w:val="0"/>
      <w:marTop w:val="0"/>
      <w:marBottom w:val="0"/>
      <w:divBdr>
        <w:top w:val="none" w:sz="0" w:space="0" w:color="auto"/>
        <w:left w:val="none" w:sz="0" w:space="0" w:color="auto"/>
        <w:bottom w:val="none" w:sz="0" w:space="0" w:color="auto"/>
        <w:right w:val="none" w:sz="0" w:space="0" w:color="auto"/>
      </w:divBdr>
    </w:div>
    <w:div w:id="17116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Gochiashvili@finc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ladimer.Gordadze@finca.ge" TargetMode="External"/><Relationship Id="rId4" Type="http://schemas.openxmlformats.org/officeDocument/2006/relationships/webSettings" Target="webSettings.xml"/><Relationship Id="rId9" Type="http://schemas.openxmlformats.org/officeDocument/2006/relationships/hyperlink" Target="mailto:Giorgi.Dvali@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10564</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2020-10-22T12:59:00Z</dcterms:created>
  <dcterms:modified xsi:type="dcterms:W3CDTF">2020-10-23T06:16:00Z</dcterms:modified>
</cp:coreProperties>
</file>